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Document Review: Key Fields, Decisions, Gaps and Human-Review Flags</w:t>
      </w:r>
    </w:p>
    <w:p>
      <w:pPr/>
      <w:r>
        <w:t xml:space="preserve">Review of 4 uploaded files | Prepared 8 October 2026 | Based on text extraction of each file</w:t>
      </w:r>
    </w:p>
    <w:p>
      <w:pPr>
        <w:pStyle w:val="Heading2"/>
      </w:pPr>
      <w:r>
        <w:t xml:space="preserve">1. Summary</w:t>
      </w:r>
    </w:p>
    <w:p>
      <w:pPr/>
      <w:r>
        <w:t xml:space="preserve">The four uploads are not one coherent package. Three files cover one topic (an HCLTech FY2024-25 strategic and competitor analysis, delivered as two Word versions and a slide deck). The fourth, a quantum computing SEO article, is unrelated to them.</w:t>
      </w:r>
    </w:p>
    <w:p>
      <w:pPr/>
      <w:r>
        <w:t xml:space="preserve">The HCLTech material is well structured, and most of its arithmetic reconciles. Even so, I found </w:t>
      </w:r>
      <w:r>
        <w:rPr>
          <w:b/>
        </w:rPr>
        <w:t xml:space="preserve">22 items for human review, 9 of them high priority</w:t>
      </w:r>
      <w:r>
        <w:t xml:space="preserve">. The most important are:</w:t>
      </w:r>
    </w:p>
    <w:p>
      <w:pPr>
        <w:pStyle w:val="ListParagraph"/>
        <w:numPr>
          <w:ilvl w:val="0"/>
          <w:numId w:val="2"/>
        </w:numPr>
      </w:pPr>
      <w:r>
        <w:t xml:space="preserve">The analysis is built on FY2025 data, while today is October 2026, so newer results probably exist.</w:t>
      </w:r>
    </w:p>
    <w:p>
      <w:pPr>
        <w:pStyle w:val="ListParagraph"/>
        <w:numPr>
          <w:ilvl w:val="0"/>
          <w:numId w:val="2"/>
        </w:numPr>
      </w:pPr>
      <w:r>
        <w:t xml:space="preserve">Cognizant's benchmark figures are estimates from guidance, not reported results.</w:t>
      </w:r>
    </w:p>
    <w:p>
      <w:pPr>
        <w:pStyle w:val="ListParagraph"/>
        <w:numPr>
          <w:ilvl w:val="0"/>
          <w:numId w:val="2"/>
        </w:numPr>
      </w:pPr>
      <w:r>
        <w:t xml:space="preserve">The documents contradict themselves on growth ranking, Cognizant's margin and the software-peer comparison.</w:t>
      </w:r>
    </w:p>
    <w:p>
      <w:pPr>
        <w:pStyle w:val="ListParagraph"/>
        <w:numPr>
          <w:ilvl w:val="0"/>
          <w:numId w:val="2"/>
        </w:numPr>
      </w:pPr>
      <w:r>
        <w:t xml:space="preserve">The deck drops several caveats that the Word report carries.</w:t>
      </w:r>
    </w:p>
    <w:p>
      <w:pPr>
        <w:pStyle w:val="ListParagraph"/>
        <w:numPr>
          <w:ilvl w:val="0"/>
          <w:numId w:val="2"/>
        </w:numPr>
      </w:pPr>
      <w:r>
        <w:t xml:space="preserve">The quantum article has an internal inconsistency on qubit counts and has no sources.</w:t>
      </w:r>
    </w:p>
    <w:p>
      <w:pPr/>
      <w:r>
        <w:t xml:space="preserve">I could not verify any figure against HCLTech's annual report or the peer filings. The flags below are about internal consistency, completeness and staleness, not external fact-checking.</w:t>
      </w:r>
    </w:p>
    <w:p>
      <w:pPr>
        <w:pStyle w:val="Heading2"/>
      </w:pPr>
      <w:r>
        <w:t xml:space="preserve">2. Document Inventory</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w:t>
            </w:r>
          </w:p>
        </w:tc>
        <w:tc>
          <w:tcPr>
            <w:tcW w:w="2340" w:type="dxa"/>
            <w:shd w:val="clear" w:color="auto" w:fill="F2F2F2"/>
          </w:tcPr>
          <w:p>
            <w:pPr/>
            <w:r>
              <w:t xml:space="preserve">File</w:t>
            </w:r>
          </w:p>
        </w:tc>
        <w:tc>
          <w:tcPr>
            <w:tcW w:w="2340" w:type="dxa"/>
            <w:shd w:val="clear" w:color="auto" w:fill="F2F2F2"/>
          </w:tcPr>
          <w:p>
            <w:pPr/>
            <w:r>
              <w:t xml:space="preserve">What it is</w:t>
            </w:r>
          </w:p>
        </w:tc>
        <w:tc>
          <w:tcPr>
            <w:tcW w:w="2340" w:type="dxa"/>
            <w:shd w:val="clear" w:color="auto" w:fill="F2F2F2"/>
          </w:tcPr>
          <w:p>
            <w:pPr/>
            <w:r>
              <w:t xml:space="preserve">Notes</w:t>
            </w:r>
          </w:p>
        </w:tc>
      </w:tr>
      <w:tr>
        <w:tc>
          <w:tcPr>
            <w:tcW w:w="2340" w:type="dxa"/>
          </w:tcPr>
          <w:p>
            <w:pPr/>
            <w:r>
              <w:t xml:space="preserve">A</w:t>
            </w:r>
          </w:p>
        </w:tc>
        <w:tc>
          <w:tcPr>
            <w:tcW w:w="2340" w:type="dxa"/>
          </w:tcPr>
          <w:p>
            <w:pPr/>
            <w:r>
              <w:t xml:space="preserve">HCLTech_Strategic_Competitor_Analysis.docx</w:t>
            </w:r>
          </w:p>
        </w:tc>
        <w:tc>
          <w:tcPr>
            <w:tcW w:w="2340" w:type="dxa"/>
          </w:tcPr>
          <w:p>
            <w:pPr/>
            <w:r>
              <w:t xml:space="preserve">Word report, Sections 1-10 plus Sources</w:t>
            </w:r>
          </w:p>
        </w:tc>
        <w:tc>
          <w:tcPr>
            <w:tcW w:w="2340" w:type="dxa"/>
          </w:tcPr>
          <w:p>
            <w:pPr/>
            <w:r>
              <w:t xml:space="preserve">Appears to be the clean version</w:t>
            </w:r>
          </w:p>
        </w:tc>
      </w:tr>
      <w:tr>
        <w:tc>
          <w:tcPr>
            <w:tcW w:w="2340" w:type="dxa"/>
          </w:tcPr>
          <w:p>
            <w:pPr/>
            <w:r>
              <w:t xml:space="preserve">B</w:t>
            </w:r>
          </w:p>
        </w:tc>
        <w:tc>
          <w:tcPr>
            <w:tcW w:w="2340" w:type="dxa"/>
          </w:tcPr>
          <w:p>
            <w:pPr/>
            <w:r>
              <w:t xml:space="preserve">HCLTech_Strategic_Competitor_Analysis-1.docx</w:t>
            </w:r>
          </w:p>
        </w:tc>
        <w:tc>
          <w:tcPr>
            <w:tcW w:w="2340" w:type="dxa"/>
          </w:tcPr>
          <w:p>
            <w:pPr/>
            <w:r>
              <w:t xml:space="preserve">Same report plus </w:t>
            </w:r>
            <w:r>
              <w:rPr>
                <w:b/>
              </w:rPr>
              <w:t xml:space="preserve">Appendix A</w:t>
            </w:r>
            <w:r>
              <w:t xml:space="preserve"> (original prompt and analyst response record)</w:t>
            </w:r>
          </w:p>
        </w:tc>
        <w:tc>
          <w:tcPr>
            <w:tcW w:w="2340" w:type="dxa"/>
          </w:tcPr>
          <w:p>
            <w:pPr/>
            <w:r>
              <w:t xml:space="preserve">Looks like the later or working version. The body appears identical to A, based on reading the extracted text; I did not run a character-level diff</w:t>
            </w:r>
          </w:p>
        </w:tc>
      </w:tr>
      <w:tr>
        <w:tc>
          <w:tcPr>
            <w:tcW w:w="2340" w:type="dxa"/>
          </w:tcPr>
          <w:p>
            <w:pPr/>
            <w:r>
              <w:t xml:space="preserve">C</w:t>
            </w:r>
          </w:p>
        </w:tc>
        <w:tc>
          <w:tcPr>
            <w:tcW w:w="2340" w:type="dxa"/>
          </w:tcPr>
          <w:p>
            <w:pPr/>
            <w:r>
              <w:t xml:space="preserve">HCLTech_Competitor_Analysis_Presentation.pptx</w:t>
            </w:r>
          </w:p>
        </w:tc>
        <w:tc>
          <w:tcPr>
            <w:tcW w:w="2340" w:type="dxa"/>
          </w:tcPr>
          <w:p>
            <w:pPr/>
            <w:r>
              <w:t xml:space="preserve">12-slide executive deck summarising the report</w:t>
            </w:r>
          </w:p>
        </w:tc>
        <w:tc>
          <w:tcPr>
            <w:tcW w:w="2340" w:type="dxa"/>
          </w:tcPr>
          <w:p>
            <w:pPr/>
            <w:r>
              <w:t xml:space="preserve">Slides 4 and 8 contain charts whose values did not extract as text</w:t>
            </w:r>
          </w:p>
        </w:tc>
      </w:tr>
      <w:tr>
        <w:tc>
          <w:tcPr>
            <w:tcW w:w="2340" w:type="dxa"/>
          </w:tcPr>
          <w:p>
            <w:pPr/>
            <w:r>
              <w:t xml:space="preserve">D</w:t>
            </w:r>
          </w:p>
        </w:tc>
        <w:tc>
          <w:tcPr>
            <w:tcW w:w="2340" w:type="dxa"/>
          </w:tcPr>
          <w:p>
            <w:pPr/>
            <w:r>
              <w:t xml:space="preserve">Quantum_Computing_Article.docx</w:t>
            </w:r>
          </w:p>
        </w:tc>
        <w:tc>
          <w:tcPr>
            <w:tcW w:w="2340" w:type="dxa"/>
          </w:tcPr>
          <w:p>
            <w:pPr/>
            <w:r>
              <w:t xml:space="preserve">1,020-word SEO article, target keyword "importance of quantum computing"</w:t>
            </w:r>
          </w:p>
        </w:tc>
        <w:tc>
          <w:tcPr>
            <w:tcW w:w="2340" w:type="dxa"/>
          </w:tcPr>
          <w:p>
            <w:pPr/>
            <w:r>
              <w:t xml:space="preserve">Unrelated to A-C</w:t>
            </w:r>
          </w:p>
        </w:tc>
      </w:tr>
    </w:tbl>
    <w:p>
      <w:pPr>
        <w:pStyle w:val="Heading2"/>
      </w:pPr>
      <w:r>
        <w:t xml:space="preserve">3. Key Fields Identified</w:t>
      </w:r>
    </w:p>
    <w:p>
      <w:pPr>
        <w:pStyle w:val="Heading3"/>
      </w:pPr>
      <w:r>
        <w:t xml:space="preserve">3.1 HCLTech analysis (files A, B, C)</w:t>
      </w:r>
    </w:p>
    <w:p>
      <w:pPr/>
      <w:r>
        <w:rPr>
          <w:b/>
        </w:rPr>
        <w:t xml:space="preserve">Report metadata</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Field</w:t>
            </w:r>
          </w:p>
        </w:tc>
        <w:tc>
          <w:tcPr>
            <w:tcW w:w="3120" w:type="dxa"/>
            <w:shd w:val="clear" w:color="auto" w:fill="F2F2F2"/>
          </w:tcPr>
          <w:p>
            <w:pPr/>
            <w:r>
              <w:t xml:space="preserve">Value found</w:t>
            </w:r>
          </w:p>
        </w:tc>
        <w:tc>
          <w:tcPr>
            <w:tcW w:w="3120" w:type="dxa"/>
            <w:shd w:val="clear" w:color="auto" w:fill="F2F2F2"/>
          </w:tcPr>
          <w:p>
            <w:pPr/>
            <w:r>
              <w:t xml:space="preserve">Status</w:t>
            </w:r>
          </w:p>
        </w:tc>
      </w:tr>
      <w:tr>
        <w:tc>
          <w:tcPr>
            <w:tcW w:w="3120" w:type="dxa"/>
          </w:tcPr>
          <w:p>
            <w:pPr/>
            <w:r>
              <w:t xml:space="preserve">Subject</w:t>
            </w:r>
          </w:p>
        </w:tc>
        <w:tc>
          <w:tcPr>
            <w:tcW w:w="3120" w:type="dxa"/>
          </w:tcPr>
          <w:p>
            <w:pPr/>
            <w:r>
              <w:t xml:space="preserve">HCLTech, FY2024-25 (year ended 31 March 2025)</w:t>
            </w:r>
          </w:p>
        </w:tc>
        <w:tc>
          <w:tcPr>
            <w:tcW w:w="3120" w:type="dxa"/>
          </w:tcPr>
          <w:p>
            <w:pPr/>
            <w:r>
              <w:t xml:space="preserve">Present</w:t>
            </w:r>
          </w:p>
        </w:tc>
      </w:tr>
      <w:tr>
        <w:tc>
          <w:tcPr>
            <w:tcW w:w="3120" w:type="dxa"/>
          </w:tcPr>
          <w:p>
            <w:pPr/>
            <w:r>
              <w:t xml:space="preserve">Purpose</w:t>
            </w:r>
          </w:p>
        </w:tc>
        <w:tc>
          <w:tcPr>
            <w:tcW w:w="3120" w:type="dxa"/>
          </w:tcPr>
          <w:p>
            <w:pPr/>
            <w:r>
              <w:t xml:space="preserve">Internal strategic review</w:t>
            </w:r>
          </w:p>
        </w:tc>
        <w:tc>
          <w:tcPr>
            <w:tcW w:w="3120" w:type="dxa"/>
          </w:tcPr>
          <w:p>
            <w:pPr/>
            <w:r>
              <w:t xml:space="preserve">Present, but no named audience or decision owner</w:t>
            </w:r>
          </w:p>
        </w:tc>
      </w:tr>
      <w:tr>
        <w:tc>
          <w:tcPr>
            <w:tcW w:w="3120" w:type="dxa"/>
          </w:tcPr>
          <w:p>
            <w:pPr/>
            <w:r>
              <w:t xml:space="preserve">Primary source</w:t>
            </w:r>
          </w:p>
        </w:tc>
        <w:tc>
          <w:tcPr>
            <w:tcW w:w="3120" w:type="dxa"/>
          </w:tcPr>
          <w:p>
            <w:pPr/>
            <w:r>
              <w:t xml:space="preserve">HCLTech Annual Report 2024-25 (423 pages, per Appendix A)</w:t>
            </w:r>
          </w:p>
        </w:tc>
        <w:tc>
          <w:tcPr>
            <w:tcW w:w="3120" w:type="dxa"/>
          </w:tcPr>
          <w:p>
            <w:pPr/>
            <w:r>
              <w:t xml:space="preserve">Present, but no page references</w:t>
            </w:r>
          </w:p>
        </w:tc>
      </w:tr>
      <w:tr>
        <w:tc>
          <w:tcPr>
            <w:tcW w:w="3120" w:type="dxa"/>
          </w:tcPr>
          <w:p>
            <w:pPr/>
            <w:r>
              <w:t xml:space="preserve">Peer set</w:t>
            </w:r>
          </w:p>
        </w:tc>
        <w:tc>
          <w:tcPr>
            <w:tcW w:w="3120" w:type="dxa"/>
          </w:tcPr>
          <w:p>
            <w:pPr/>
            <w:r>
              <w:t xml:space="preserve">TCS, Infosys, Wipro, Tech Mahindra, LTIMindtree, Cognizant, Accenture (Capgemini named but not benchmarked)</w:t>
            </w:r>
          </w:p>
        </w:tc>
        <w:tc>
          <w:tcPr>
            <w:tcW w:w="3120" w:type="dxa"/>
          </w:tcPr>
          <w:p>
            <w:pPr/>
            <w:r>
              <w:t xml:space="preserve">Present</w:t>
            </w:r>
          </w:p>
        </w:tc>
      </w:tr>
      <w:tr>
        <w:tc>
          <w:tcPr>
            <w:tcW w:w="3120" w:type="dxa"/>
          </w:tcPr>
          <w:p>
            <w:pPr/>
            <w:r>
              <w:t xml:space="preserve">Author, date, version, approver</w:t>
            </w:r>
          </w:p>
        </w:tc>
        <w:tc>
          <w:tcPr>
            <w:tcW w:w="3120" w:type="dxa"/>
          </w:tcPr>
          <w:p>
            <w:pPr/>
            <w:r>
              <w:t xml:space="preserve">None</w:t>
            </w:r>
          </w:p>
        </w:tc>
        <w:tc>
          <w:tcPr>
            <w:tcW w:w="3120" w:type="dxa"/>
          </w:tcPr>
          <w:p>
            <w:pPr/>
            <w:r>
              <w:rPr>
                <w:b/>
              </w:rPr>
              <w:t xml:space="preserve">Missing</w:t>
            </w:r>
          </w:p>
        </w:tc>
      </w:tr>
    </w:tbl>
    <w:p>
      <w:pPr/>
      <w:r>
        <w:rPr>
          <w:b/>
        </w:rPr>
        <w:t xml:space="preserve">Core financial and operating metrics (FY2024-25)</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Metric</w:t>
            </w:r>
          </w:p>
        </w:tc>
        <w:tc>
          <w:tcPr>
            <w:tcW w:w="3120" w:type="dxa"/>
            <w:shd w:val="clear" w:color="auto" w:fill="F2F2F2"/>
          </w:tcPr>
          <w:p>
            <w:pPr/>
            <w:r>
              <w:t xml:space="preserve">Value</w:t>
            </w:r>
          </w:p>
        </w:tc>
        <w:tc>
          <w:tcPr>
            <w:tcW w:w="3120" w:type="dxa"/>
            <w:shd w:val="clear" w:color="auto" w:fill="F2F2F2"/>
          </w:tcPr>
          <w:p>
            <w:pPr/>
            <w:r>
              <w:t xml:space="preserve">Internal check</w:t>
            </w:r>
          </w:p>
        </w:tc>
      </w:tr>
      <w:tr>
        <w:tc>
          <w:tcPr>
            <w:tcW w:w="3120" w:type="dxa"/>
          </w:tcPr>
          <w:p>
            <w:pPr/>
            <w:r>
              <w:t xml:space="preserve">Revenue</w:t>
            </w:r>
          </w:p>
        </w:tc>
        <w:tc>
          <w:tcPr>
            <w:tcW w:w="3120" w:type="dxa"/>
          </w:tcPr>
          <w:p>
            <w:pPr/>
            <w:r>
              <w:t xml:space="preserve">₹117,055 Cr (US$13.8B); +6.5% INR, +4.7% CC</w:t>
            </w:r>
          </w:p>
        </w:tc>
        <w:tc>
          <w:tcPr>
            <w:tcW w:w="3120" w:type="dxa"/>
          </w:tcPr>
          <w:p>
            <w:pPr/>
            <w:r>
              <w:t xml:space="preserve">Segments reconcile (see Section 6)</w:t>
            </w:r>
          </w:p>
        </w:tc>
      </w:tr>
      <w:tr>
        <w:tc>
          <w:tcPr>
            <w:tcW w:w="3120" w:type="dxa"/>
          </w:tcPr>
          <w:p>
            <w:pPr/>
            <w:r>
              <w:t xml:space="preserve">EBIT / margin</w:t>
            </w:r>
          </w:p>
        </w:tc>
        <w:tc>
          <w:tcPr>
            <w:tcW w:w="3120" w:type="dxa"/>
          </w:tcPr>
          <w:p>
            <w:pPr/>
            <w:r>
              <w:t xml:space="preserve">₹21,420 Cr / 18.3% (+7 bps)</w:t>
            </w:r>
          </w:p>
        </w:tc>
        <w:tc>
          <w:tcPr>
            <w:tcW w:w="3120" w:type="dxa"/>
          </w:tcPr>
          <w:p>
            <w:pPr/>
            <w:r>
              <w:t xml:space="preserve">Recomputes correctly</w:t>
            </w:r>
          </w:p>
        </w:tc>
      </w:tr>
      <w:tr>
        <w:tc>
          <w:tcPr>
            <w:tcW w:w="3120" w:type="dxa"/>
          </w:tcPr>
          <w:p>
            <w:pPr/>
            <w:r>
              <w:t xml:space="preserve">Profit after tax</w:t>
            </w:r>
          </w:p>
        </w:tc>
        <w:tc>
          <w:tcPr>
            <w:tcW w:w="3120" w:type="dxa"/>
          </w:tcPr>
          <w:p>
            <w:pPr/>
            <w:r>
              <w:t xml:space="preserve">₹17,390 Cr (+10.8%)</w:t>
            </w:r>
          </w:p>
        </w:tc>
        <w:tc>
          <w:tcPr>
            <w:tcW w:w="3120" w:type="dxa"/>
          </w:tcPr>
          <w:p>
            <w:pPr/>
            <w:r>
              <w:t xml:space="preserve">Net margin stated as 14.7%; recomputes to about 14.9%</w:t>
            </w:r>
          </w:p>
        </w:tc>
      </w:tr>
      <w:tr>
        <w:tc>
          <w:tcPr>
            <w:tcW w:w="3120" w:type="dxa"/>
          </w:tcPr>
          <w:p>
            <w:pPr/>
            <w:r>
              <w:t xml:space="preserve">Free cash flow</w:t>
            </w:r>
          </w:p>
        </w:tc>
        <w:tc>
          <w:tcPr>
            <w:tcW w:w="3120" w:type="dxa"/>
          </w:tcPr>
          <w:p>
            <w:pPr/>
            <w:r>
              <w:t xml:space="preserve">₹21,153 Cr (122% of net income)</w:t>
            </w:r>
          </w:p>
        </w:tc>
        <w:tc>
          <w:tcPr>
            <w:tcW w:w="3120" w:type="dxa"/>
          </w:tcPr>
          <w:p>
            <w:pPr/>
            <w:r>
              <w:t xml:space="preserve">Recomputes correctly</w:t>
            </w:r>
          </w:p>
        </w:tc>
      </w:tr>
      <w:tr>
        <w:tc>
          <w:tcPr>
            <w:tcW w:w="3120" w:type="dxa"/>
          </w:tcPr>
          <w:p>
            <w:pPr/>
            <w:r>
              <w:t xml:space="preserve">ROIC / ROE</w:t>
            </w:r>
          </w:p>
        </w:tc>
        <w:tc>
          <w:tcPr>
            <w:tcW w:w="3120" w:type="dxa"/>
          </w:tcPr>
          <w:p>
            <w:pPr/>
            <w:r>
              <w:t xml:space="preserve">37.9% (+376 bps, Services) / 25%</w:t>
            </w:r>
          </w:p>
        </w:tc>
        <w:tc>
          <w:tcPr>
            <w:tcW w:w="3120" w:type="dxa"/>
          </w:tcPr>
          <w:p>
            <w:pPr/>
            <w:r>
              <w:t xml:space="preserve">Unclear whether ROIC is company-wide or Services-only</w:t>
            </w:r>
          </w:p>
        </w:tc>
      </w:tr>
      <w:tr>
        <w:tc>
          <w:tcPr>
            <w:tcW w:w="3120" w:type="dxa"/>
          </w:tcPr>
          <w:p>
            <w:pPr/>
            <w:r>
              <w:t xml:space="preserve">Dividend paid / payout</w:t>
            </w:r>
          </w:p>
        </w:tc>
        <w:tc>
          <w:tcPr>
            <w:tcW w:w="3120" w:type="dxa"/>
          </w:tcPr>
          <w:p>
            <w:pPr/>
            <w:r>
              <w:t xml:space="preserve">₹16,250 Cr / 93.5%</w:t>
            </w:r>
          </w:p>
        </w:tc>
        <w:tc>
          <w:tcPr>
            <w:tcW w:w="3120" w:type="dxa"/>
          </w:tcPr>
          <w:p>
            <w:pPr/>
            <w:r>
              <w:t xml:space="preserve">Recomputes correctly (about 93.4%)</w:t>
            </w:r>
          </w:p>
        </w:tc>
      </w:tr>
      <w:tr>
        <w:tc>
          <w:tcPr>
            <w:tcW w:w="3120" w:type="dxa"/>
          </w:tcPr>
          <w:p>
            <w:pPr/>
            <w:r>
              <w:t xml:space="preserve">Net new deal TCV</w:t>
            </w:r>
          </w:p>
        </w:tc>
        <w:tc>
          <w:tcPr>
            <w:tcW w:w="3120" w:type="dxa"/>
          </w:tcPr>
          <w:p>
            <w:pPr/>
            <w:r>
              <w:t xml:space="preserve">US$9.3B, 66 large deals</w:t>
            </w:r>
          </w:p>
        </w:tc>
        <w:tc>
          <w:tcPr>
            <w:tcW w:w="3120" w:type="dxa"/>
          </w:tcPr>
          <w:p>
            <w:pPr/>
            <w:r>
              <w:t xml:space="preserve">Not cross-checked</w:t>
            </w:r>
          </w:p>
        </w:tc>
      </w:tr>
      <w:tr>
        <w:tc>
          <w:tcPr>
            <w:tcW w:w="3120" w:type="dxa"/>
          </w:tcPr>
          <w:p>
            <w:pPr/>
            <w:r>
              <w:t xml:space="preserve">Headcount / attrition</w:t>
            </w:r>
          </w:p>
        </w:tc>
        <w:tc>
          <w:tcPr>
            <w:tcW w:w="3120" w:type="dxa"/>
          </w:tcPr>
          <w:p>
            <w:pPr/>
            <w:r>
              <w:t xml:space="preserve">223,420 / 13.0% voluntary (IT services, LTM)</w:t>
            </w:r>
          </w:p>
        </w:tc>
        <w:tc>
          <w:tcPr>
            <w:tcW w:w="3120" w:type="dxa"/>
          </w:tcPr>
          <w:p>
            <w:pPr/>
            <w:r>
              <w:t xml:space="preserve">Not cross-checked</w:t>
            </w:r>
          </w:p>
        </w:tc>
      </w:tr>
      <w:tr>
        <w:tc>
          <w:tcPr>
            <w:tcW w:w="3120" w:type="dxa"/>
          </w:tcPr>
          <w:p>
            <w:pPr/>
            <w:r>
              <w:t xml:space="preserve">Five-year revenue CAGR</w:t>
            </w:r>
          </w:p>
        </w:tc>
        <w:tc>
          <w:tcPr>
            <w:tcW w:w="3120" w:type="dxa"/>
          </w:tcPr>
          <w:p>
            <w:pPr/>
            <w:r>
              <w:t xml:space="preserve">About 11.6% (FY21 to FY25)</w:t>
            </w:r>
          </w:p>
        </w:tc>
        <w:tc>
          <w:tcPr>
            <w:tcW w:w="3120" w:type="dxa"/>
          </w:tcPr>
          <w:p>
            <w:pPr/>
            <w:r>
              <w:t xml:space="preserve">Correct, but it is four compounding periods</w:t>
            </w:r>
          </w:p>
        </w:tc>
      </w:tr>
    </w:tbl>
    <w:p>
      <w:pPr/>
      <w:r>
        <w:rPr>
          <w:b/>
        </w:rPr>
        <w:t xml:space="preserve">Segments</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Segment</w:t>
            </w:r>
          </w:p>
        </w:tc>
        <w:tc>
          <w:tcPr>
            <w:tcW w:w="2340" w:type="dxa"/>
            <w:shd w:val="clear" w:color="auto" w:fill="F2F2F2"/>
          </w:tcPr>
          <w:p>
            <w:pPr/>
            <w:r>
              <w:t xml:space="preserve">Revenue</w:t>
            </w:r>
          </w:p>
        </w:tc>
        <w:tc>
          <w:tcPr>
            <w:tcW w:w="2340" w:type="dxa"/>
            <w:shd w:val="clear" w:color="auto" w:fill="F2F2F2"/>
          </w:tcPr>
          <w:p>
            <w:pPr/>
            <w:r>
              <w:t xml:space="preserve">EBIT margin</w:t>
            </w:r>
          </w:p>
        </w:tc>
        <w:tc>
          <w:tcPr>
            <w:tcW w:w="2340" w:type="dxa"/>
            <w:shd w:val="clear" w:color="auto" w:fill="F2F2F2"/>
          </w:tcPr>
          <w:p>
            <w:pPr/>
            <w:r>
              <w:t xml:space="preserve">Other</w:t>
            </w:r>
          </w:p>
        </w:tc>
      </w:tr>
      <w:tr>
        <w:tc>
          <w:tcPr>
            <w:tcW w:w="2340" w:type="dxa"/>
          </w:tcPr>
          <w:p>
            <w:pPr/>
            <w:r>
              <w:t xml:space="preserve">IT and Business Services</w:t>
            </w:r>
          </w:p>
        </w:tc>
        <w:tc>
          <w:tcPr>
            <w:tcW w:w="2340" w:type="dxa"/>
          </w:tcPr>
          <w:p>
            <w:pPr/>
            <w:r>
              <w:t xml:space="preserve">₹86,438 Cr (73.8%)</w:t>
            </w:r>
          </w:p>
        </w:tc>
        <w:tc>
          <w:tcPr>
            <w:tcW w:w="2340" w:type="dxa"/>
          </w:tcPr>
          <w:p>
            <w:pPr/>
            <w:r>
              <w:t xml:space="preserve">17.1%</w:t>
            </w:r>
          </w:p>
        </w:tc>
        <w:tc>
          <w:tcPr>
            <w:tcW w:w="2340" w:type="dxa"/>
          </w:tcPr>
          <w:p>
            <w:pPr/>
          </w:p>
        </w:tc>
      </w:tr>
      <w:tr>
        <w:tc>
          <w:tcPr>
            <w:tcW w:w="2340" w:type="dxa"/>
          </w:tcPr>
          <w:p>
            <w:pPr/>
            <w:r>
              <w:t xml:space="preserve">Engineering and R&amp;D Services</w:t>
            </w:r>
          </w:p>
        </w:tc>
        <w:tc>
          <w:tcPr>
            <w:tcW w:w="2340" w:type="dxa"/>
          </w:tcPr>
          <w:p>
            <w:pPr/>
            <w:r>
              <w:t xml:space="preserve">₹18,960 Cr</w:t>
            </w:r>
          </w:p>
        </w:tc>
        <w:tc>
          <w:tcPr>
            <w:tcW w:w="2340" w:type="dxa"/>
          </w:tcPr>
          <w:p>
            <w:pPr/>
            <w:r>
              <w:t xml:space="preserve">18.0%</w:t>
            </w:r>
          </w:p>
        </w:tc>
        <w:tc>
          <w:tcPr>
            <w:tcW w:w="2340" w:type="dxa"/>
          </w:tcPr>
          <w:p>
            <w:pPr/>
            <w:r>
              <w:t xml:space="preserve">+5.5% CC; HPE CTG assets acquired</w:t>
            </w:r>
          </w:p>
        </w:tc>
      </w:tr>
      <w:tr>
        <w:tc>
          <w:tcPr>
            <w:tcW w:w="2340" w:type="dxa"/>
          </w:tcPr>
          <w:p>
            <w:pPr/>
            <w:r>
              <w:t xml:space="preserve">HCLSoftware</w:t>
            </w:r>
          </w:p>
        </w:tc>
        <w:tc>
          <w:tcPr>
            <w:tcW w:w="2340" w:type="dxa"/>
          </w:tcPr>
          <w:p>
            <w:pPr/>
            <w:r>
              <w:t xml:space="preserve">₹12,049 Cr</w:t>
            </w:r>
          </w:p>
        </w:tc>
        <w:tc>
          <w:tcPr>
            <w:tcW w:w="2340" w:type="dxa"/>
          </w:tcPr>
          <w:p>
            <w:pPr/>
            <w:r>
              <w:t xml:space="preserve">26.6%</w:t>
            </w:r>
          </w:p>
        </w:tc>
        <w:tc>
          <w:tcPr>
            <w:tcW w:w="2340" w:type="dxa"/>
          </w:tcPr>
          <w:p>
            <w:pPr/>
            <w:r>
              <w:t xml:space="preserve">ARR above US$1.03B, growing 1.8% CC</w:t>
            </w:r>
          </w:p>
        </w:tc>
      </w:tr>
    </w:tbl>
    <w:p>
      <w:pPr/>
      <w:r>
        <w:rPr>
          <w:b/>
        </w:rPr>
        <w:t xml:space="preserve">Mix:</w:t>
      </w:r>
      <w:r>
        <w:t xml:space="preserve"> US 58.1%, Europe 26.7%, Rest of World 12.1%, India 3.1%. Top 20 clients are about 30% of revenue. The largest verticals are Financial Services (20.1%), Manufacturing (18.5%), Lifesciences and Healthcare (15.9%) and Technology and Services (14.6%).</w:t>
      </w:r>
    </w:p>
    <w:p>
      <w:pPr/>
      <w:r>
        <w:rPr>
          <w:b/>
        </w:rPr>
        <w:t xml:space="preserve">Peer benchmark (EBIT margin / CC growth)</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Company</w:t>
            </w:r>
          </w:p>
        </w:tc>
        <w:tc>
          <w:tcPr>
            <w:tcW w:w="2340" w:type="dxa"/>
            <w:shd w:val="clear" w:color="auto" w:fill="F2F2F2"/>
          </w:tcPr>
          <w:p>
            <w:pPr/>
            <w:r>
              <w:t xml:space="preserve">EBIT margin</w:t>
            </w:r>
          </w:p>
        </w:tc>
        <w:tc>
          <w:tcPr>
            <w:tcW w:w="2340" w:type="dxa"/>
            <w:shd w:val="clear" w:color="auto" w:fill="F2F2F2"/>
          </w:tcPr>
          <w:p>
            <w:pPr/>
            <w:r>
              <w:t xml:space="preserve">CC growth</w:t>
            </w:r>
          </w:p>
        </w:tc>
        <w:tc>
          <w:tcPr>
            <w:tcW w:w="2340" w:type="dxa"/>
            <w:shd w:val="clear" w:color="auto" w:fill="F2F2F2"/>
          </w:tcPr>
          <w:p>
            <w:pPr/>
            <w:r>
              <w:t xml:space="preserve">Data quality</w:t>
            </w:r>
          </w:p>
        </w:tc>
      </w:tr>
      <w:tr>
        <w:tc>
          <w:tcPr>
            <w:tcW w:w="2340" w:type="dxa"/>
          </w:tcPr>
          <w:p>
            <w:pPr/>
            <w:r>
              <w:t xml:space="preserve">HCLTech</w:t>
            </w:r>
          </w:p>
        </w:tc>
        <w:tc>
          <w:tcPr>
            <w:tcW w:w="2340" w:type="dxa"/>
          </w:tcPr>
          <w:p>
            <w:pPr/>
            <w:r>
              <w:t xml:space="preserve">18.3%</w:t>
            </w:r>
          </w:p>
        </w:tc>
        <w:tc>
          <w:tcPr>
            <w:tcW w:w="2340" w:type="dxa"/>
          </w:tcPr>
          <w:p>
            <w:pPr/>
            <w:r>
              <w:t xml:space="preserve">+4.7%</w:t>
            </w:r>
          </w:p>
        </w:tc>
        <w:tc>
          <w:tcPr>
            <w:tcW w:w="2340" w:type="dxa"/>
          </w:tcPr>
          <w:p>
            <w:pPr/>
            <w:r>
              <w:t xml:space="preserve">Reported</w:t>
            </w:r>
          </w:p>
        </w:tc>
      </w:tr>
      <w:tr>
        <w:tc>
          <w:tcPr>
            <w:tcW w:w="2340" w:type="dxa"/>
          </w:tcPr>
          <w:p>
            <w:pPr/>
            <w:r>
              <w:t xml:space="preserve">TCS</w:t>
            </w:r>
          </w:p>
        </w:tc>
        <w:tc>
          <w:tcPr>
            <w:tcW w:w="2340" w:type="dxa"/>
          </w:tcPr>
          <w:p>
            <w:pPr/>
            <w:r>
              <w:t xml:space="preserve">24.3%</w:t>
            </w:r>
          </w:p>
        </w:tc>
        <w:tc>
          <w:tcPr>
            <w:tcW w:w="2340" w:type="dxa"/>
          </w:tcPr>
          <w:p>
            <w:pPr/>
            <w:r>
              <w:t xml:space="preserve">not disclosed (USD +3.8%)</w:t>
            </w:r>
          </w:p>
        </w:tc>
        <w:tc>
          <w:tcPr>
            <w:tcW w:w="2340" w:type="dxa"/>
          </w:tcPr>
          <w:p>
            <w:pPr/>
            <w:r>
              <w:t xml:space="preserve">Reported; growth basis differs</w:t>
            </w:r>
          </w:p>
        </w:tc>
      </w:tr>
      <w:tr>
        <w:tc>
          <w:tcPr>
            <w:tcW w:w="2340" w:type="dxa"/>
          </w:tcPr>
          <w:p>
            <w:pPr/>
            <w:r>
              <w:t xml:space="preserve">Infosys</w:t>
            </w:r>
          </w:p>
        </w:tc>
        <w:tc>
          <w:tcPr>
            <w:tcW w:w="2340" w:type="dxa"/>
          </w:tcPr>
          <w:p>
            <w:pPr/>
            <w:r>
              <w:t xml:space="preserve">21.1%</w:t>
            </w:r>
          </w:p>
        </w:tc>
        <w:tc>
          <w:tcPr>
            <w:tcW w:w="2340" w:type="dxa"/>
          </w:tcPr>
          <w:p>
            <w:pPr/>
            <w:r>
              <w:t xml:space="preserve">+4.2%</w:t>
            </w:r>
          </w:p>
        </w:tc>
        <w:tc>
          <w:tcPr>
            <w:tcW w:w="2340" w:type="dxa"/>
          </w:tcPr>
          <w:p>
            <w:pPr/>
            <w:r>
              <w:t xml:space="preserve">Reported</w:t>
            </w:r>
          </w:p>
        </w:tc>
      </w:tr>
      <w:tr>
        <w:tc>
          <w:tcPr>
            <w:tcW w:w="2340" w:type="dxa"/>
          </w:tcPr>
          <w:p>
            <w:pPr/>
            <w:r>
              <w:t xml:space="preserve">Wipro</w:t>
            </w:r>
          </w:p>
        </w:tc>
        <w:tc>
          <w:tcPr>
            <w:tcW w:w="2340" w:type="dxa"/>
          </w:tcPr>
          <w:p>
            <w:pPr/>
            <w:r>
              <w:t xml:space="preserve">17.1%</w:t>
            </w:r>
          </w:p>
        </w:tc>
        <w:tc>
          <w:tcPr>
            <w:tcW w:w="2340" w:type="dxa"/>
          </w:tcPr>
          <w:p>
            <w:pPr/>
            <w:r>
              <w:t xml:space="preserve">about -0.9%</w:t>
            </w:r>
          </w:p>
        </w:tc>
        <w:tc>
          <w:tcPr>
            <w:tcW w:w="2340" w:type="dxa"/>
          </w:tcPr>
          <w:p>
            <w:pPr/>
            <w:r>
              <w:t xml:space="preserve">IT Services segment only, but group headcount used</w:t>
            </w:r>
          </w:p>
        </w:tc>
      </w:tr>
      <w:tr>
        <w:tc>
          <w:tcPr>
            <w:tcW w:w="2340" w:type="dxa"/>
          </w:tcPr>
          <w:p>
            <w:pPr/>
            <w:r>
              <w:t xml:space="preserve">Tech Mahindra</w:t>
            </w:r>
          </w:p>
        </w:tc>
        <w:tc>
          <w:tcPr>
            <w:tcW w:w="2340" w:type="dxa"/>
          </w:tcPr>
          <w:p>
            <w:pPr/>
            <w:r>
              <w:t xml:space="preserve">9.7%</w:t>
            </w:r>
          </w:p>
        </w:tc>
        <w:tc>
          <w:tcPr>
            <w:tcW w:w="2340" w:type="dxa"/>
          </w:tcPr>
          <w:p>
            <w:pPr/>
            <w:r>
              <w:t xml:space="preserve">about flat</w:t>
            </w:r>
          </w:p>
        </w:tc>
        <w:tc>
          <w:tcPr>
            <w:tcW w:w="2340" w:type="dxa"/>
          </w:tcPr>
          <w:p>
            <w:pPr/>
            <w:r>
              <w:t xml:space="preserve">Approximate</w:t>
            </w:r>
          </w:p>
        </w:tc>
      </w:tr>
      <w:tr>
        <w:tc>
          <w:tcPr>
            <w:tcW w:w="2340" w:type="dxa"/>
          </w:tcPr>
          <w:p>
            <w:pPr/>
            <w:r>
              <w:t xml:space="preserve">LTIMindtree</w:t>
            </w:r>
          </w:p>
        </w:tc>
        <w:tc>
          <w:tcPr>
            <w:tcW w:w="2340" w:type="dxa"/>
          </w:tcPr>
          <w:p>
            <w:pPr/>
            <w:r>
              <w:t xml:space="preserve">14.5%</w:t>
            </w:r>
          </w:p>
        </w:tc>
        <w:tc>
          <w:tcPr>
            <w:tcW w:w="2340" w:type="dxa"/>
          </w:tcPr>
          <w:p>
            <w:pPr/>
            <w:r>
              <w:t xml:space="preserve">+5.0%</w:t>
            </w:r>
          </w:p>
        </w:tc>
        <w:tc>
          <w:tcPr>
            <w:tcW w:w="2340" w:type="dxa"/>
          </w:tcPr>
          <w:p>
            <w:pPr/>
            <w:r>
              <w:t xml:space="preserve">Reported</w:t>
            </w:r>
          </w:p>
        </w:tc>
      </w:tr>
      <w:tr>
        <w:tc>
          <w:tcPr>
            <w:tcW w:w="2340" w:type="dxa"/>
          </w:tcPr>
          <w:p>
            <w:pPr/>
            <w:r>
              <w:t xml:space="preserve">Cognizant</w:t>
            </w:r>
          </w:p>
        </w:tc>
        <w:tc>
          <w:tcPr>
            <w:tcW w:w="2340" w:type="dxa"/>
          </w:tcPr>
          <w:p>
            <w:pPr/>
            <w:r>
              <w:t xml:space="preserve">about 15.7-16.1%</w:t>
            </w:r>
          </w:p>
        </w:tc>
        <w:tc>
          <w:tcPr>
            <w:tcW w:w="2340" w:type="dxa"/>
          </w:tcPr>
          <w:p>
            <w:pPr/>
            <w:r>
              <w:t xml:space="preserve">+6.0-6.3%</w:t>
            </w:r>
          </w:p>
        </w:tc>
        <w:tc>
          <w:tcPr>
            <w:tcW w:w="2340" w:type="dxa"/>
          </w:tcPr>
          <w:p>
            <w:pPr/>
            <w:r>
              <w:rPr>
                <w:b/>
              </w:rPr>
              <w:t xml:space="preserve">Guidance-derived, not final results</w:t>
            </w:r>
          </w:p>
        </w:tc>
      </w:tr>
      <w:tr>
        <w:tc>
          <w:tcPr>
            <w:tcW w:w="2340" w:type="dxa"/>
          </w:tcPr>
          <w:p>
            <w:pPr/>
            <w:r>
              <w:t xml:space="preserve">Accenture</w:t>
            </w:r>
          </w:p>
        </w:tc>
        <w:tc>
          <w:tcPr>
            <w:tcW w:w="2340" w:type="dxa"/>
          </w:tcPr>
          <w:p>
            <w:pPr/>
            <w:r>
              <w:t xml:space="preserve">14.7% GAAP / 15.6% adjusted</w:t>
            </w:r>
          </w:p>
        </w:tc>
        <w:tc>
          <w:tcPr>
            <w:tcW w:w="2340" w:type="dxa"/>
          </w:tcPr>
          <w:p>
            <w:pPr/>
            <w:r>
              <w:t xml:space="preserve">+7.0%</w:t>
            </w:r>
          </w:p>
        </w:tc>
        <w:tc>
          <w:tcPr>
            <w:tcW w:w="2340" w:type="dxa"/>
          </w:tcPr>
          <w:p>
            <w:pPr/>
            <w:r>
              <w:t xml:space="preserve">Reported (August year-end)</w:t>
            </w:r>
          </w:p>
        </w:tc>
      </w:tr>
    </w:tbl>
    <w:p>
      <w:pPr/>
      <w:r>
        <w:rPr>
          <w:b/>
        </w:rPr>
        <w:t xml:space="preserve">Strategic constructs:</w:t>
      </w:r>
      <w:r>
        <w:t xml:space="preserve"> five strategic objectives, 12 growth vectors (only about six are named in the report), Project Ascend, AI Force and AI Foundry, and the HCLTech Public Sector Solutions subsidiary. The SWOT has five items per quadrant. Four monitoring metrics are proposed: quarterly EBIT margin, HCLSoftware ARR growth, net new TCV and deal size, and peer GenAI bookings.</w:t>
      </w:r>
    </w:p>
    <w:p>
      <w:pPr>
        <w:pStyle w:val="Heading3"/>
      </w:pPr>
      <w:r>
        <w:t xml:space="preserve">3.2 Quantum computing article (file D)</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Field</w:t>
            </w:r>
          </w:p>
        </w:tc>
        <w:tc>
          <w:tcPr>
            <w:tcW w:w="3120" w:type="dxa"/>
            <w:shd w:val="clear" w:color="auto" w:fill="F2F2F2"/>
          </w:tcPr>
          <w:p>
            <w:pPr/>
            <w:r>
              <w:t xml:space="preserve">Value</w:t>
            </w:r>
          </w:p>
        </w:tc>
        <w:tc>
          <w:tcPr>
            <w:tcW w:w="3120" w:type="dxa"/>
            <w:shd w:val="clear" w:color="auto" w:fill="F2F2F2"/>
          </w:tcPr>
          <w:p>
            <w:pPr/>
            <w:r>
              <w:t xml:space="preserve">Status</w:t>
            </w:r>
          </w:p>
        </w:tc>
      </w:tr>
      <w:tr>
        <w:tc>
          <w:tcPr>
            <w:tcW w:w="3120" w:type="dxa"/>
          </w:tcPr>
          <w:p>
            <w:pPr/>
            <w:r>
              <w:t xml:space="preserve">Title</w:t>
            </w:r>
          </w:p>
        </w:tc>
        <w:tc>
          <w:tcPr>
            <w:tcW w:w="3120" w:type="dxa"/>
          </w:tcPr>
          <w:p>
            <w:pPr/>
            <w:r>
              <w:t xml:space="preserve">Quantum Computing: Why It Matters and Where It's Headed</w:t>
            </w:r>
          </w:p>
        </w:tc>
        <w:tc>
          <w:tcPr>
            <w:tcW w:w="3120" w:type="dxa"/>
          </w:tcPr>
          <w:p>
            <w:pPr/>
            <w:r>
              <w:t xml:space="preserve">Present</w:t>
            </w:r>
          </w:p>
        </w:tc>
      </w:tr>
      <w:tr>
        <w:tc>
          <w:tcPr>
            <w:tcW w:w="3120" w:type="dxa"/>
          </w:tcPr>
          <w:p>
            <w:pPr/>
            <w:r>
              <w:t xml:space="preserve">Target keyword</w:t>
            </w:r>
          </w:p>
        </w:tc>
        <w:tc>
          <w:tcPr>
            <w:tcW w:w="3120" w:type="dxa"/>
          </w:tcPr>
          <w:p>
            <w:pPr/>
            <w:r>
              <w:t xml:space="preserve">"importance of quantum computing"</w:t>
            </w:r>
          </w:p>
        </w:tc>
        <w:tc>
          <w:tcPr>
            <w:tcW w:w="3120" w:type="dxa"/>
          </w:tcPr>
          <w:p>
            <w:pPr/>
            <w:r>
              <w:t xml:space="preserve">Present</w:t>
            </w:r>
          </w:p>
        </w:tc>
      </w:tr>
      <w:tr>
        <w:tc>
          <w:tcPr>
            <w:tcW w:w="3120" w:type="dxa"/>
          </w:tcPr>
          <w:p>
            <w:pPr/>
            <w:r>
              <w:t xml:space="preserve">Stated length / density</w:t>
            </w:r>
          </w:p>
        </w:tc>
        <w:tc>
          <w:tcPr>
            <w:tcW w:w="3120" w:type="dxa"/>
          </w:tcPr>
          <w:p>
            <w:pPr/>
            <w:r>
              <w:t xml:space="preserve">1,020 words / 0.98%</w:t>
            </w:r>
          </w:p>
        </w:tc>
        <w:tc>
          <w:tcPr>
            <w:tcW w:w="3120" w:type="dxa"/>
          </w:tcPr>
          <w:p>
            <w:pPr/>
            <w:r>
              <w:t xml:space="preserve">Plausible: the phrase appears about 10 times including the heading, which is 0.98% when each occurrence of the phrase counts as one</w:t>
            </w:r>
          </w:p>
        </w:tc>
      </w:tr>
      <w:tr>
        <w:tc>
          <w:tcPr>
            <w:tcW w:w="3120" w:type="dxa"/>
          </w:tcPr>
          <w:p>
            <w:pPr/>
            <w:r>
              <w:t xml:space="preserve">Structure</w:t>
            </w:r>
          </w:p>
        </w:tc>
        <w:tc>
          <w:tcPr>
            <w:tcW w:w="3120" w:type="dxa"/>
          </w:tcPr>
          <w:p>
            <w:pPr/>
            <w:r>
              <w:t xml:space="preserve">Introduction plus 5 sections (importance, challenges, use cases, recent developments, future)</w:t>
            </w:r>
          </w:p>
        </w:tc>
        <w:tc>
          <w:tcPr>
            <w:tcW w:w="3120" w:type="dxa"/>
          </w:tcPr>
          <w:p>
            <w:pPr/>
            <w:r>
              <w:t xml:space="preserve">Present</w:t>
            </w:r>
          </w:p>
        </w:tc>
      </w:tr>
      <w:tr>
        <w:tc>
          <w:tcPr>
            <w:tcW w:w="3120" w:type="dxa"/>
          </w:tcPr>
          <w:p>
            <w:pPr/>
            <w:r>
              <w:t xml:space="preserve">Meta title, meta description, URL slug</w:t>
            </w:r>
          </w:p>
        </w:tc>
        <w:tc>
          <w:tcPr>
            <w:tcW w:w="3120" w:type="dxa"/>
          </w:tcPr>
          <w:p>
            <w:pPr/>
            <w:r>
              <w:t xml:space="preserve">None</w:t>
            </w:r>
          </w:p>
        </w:tc>
        <w:tc>
          <w:tcPr>
            <w:tcW w:w="3120" w:type="dxa"/>
          </w:tcPr>
          <w:p>
            <w:pPr/>
            <w:r>
              <w:rPr>
                <w:b/>
              </w:rPr>
              <w:t xml:space="preserve">Missing</w:t>
            </w:r>
          </w:p>
        </w:tc>
      </w:tr>
      <w:tr>
        <w:tc>
          <w:tcPr>
            <w:tcW w:w="3120" w:type="dxa"/>
          </w:tcPr>
          <w:p>
            <w:pPr/>
            <w:r>
              <w:t xml:space="preserve">Author, publish date, sources or citations</w:t>
            </w:r>
          </w:p>
        </w:tc>
        <w:tc>
          <w:tcPr>
            <w:tcW w:w="3120" w:type="dxa"/>
          </w:tcPr>
          <w:p>
            <w:pPr/>
            <w:r>
              <w:t xml:space="preserve">None</w:t>
            </w:r>
          </w:p>
        </w:tc>
        <w:tc>
          <w:tcPr>
            <w:tcW w:w="3120" w:type="dxa"/>
          </w:tcPr>
          <w:p>
            <w:pPr/>
            <w:r>
              <w:rPr>
                <w:b/>
              </w:rPr>
              <w:t xml:space="preserve">Missing</w:t>
            </w:r>
          </w:p>
        </w:tc>
      </w:tr>
    </w:tbl>
    <w:p>
      <w:pPr>
        <w:pStyle w:val="Heading2"/>
      </w:pPr>
      <w:r>
        <w:t xml:space="preserve">4. Decisions Embedded in the Documents</w:t>
      </w:r>
    </w:p>
    <w:p>
      <w:pPr>
        <w:pStyle w:val="Heading3"/>
      </w:pPr>
      <w:r>
        <w:t xml:space="preserve">4.1 Decisions already made (stated or implied)</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Decision</w:t>
            </w:r>
          </w:p>
        </w:tc>
        <w:tc>
          <w:tcPr>
            <w:tcW w:w="3120" w:type="dxa"/>
            <w:shd w:val="clear" w:color="auto" w:fill="F2F2F2"/>
          </w:tcPr>
          <w:p>
            <w:pPr/>
            <w:r>
              <w:t xml:space="preserve">Where</w:t>
            </w:r>
          </w:p>
        </w:tc>
        <w:tc>
          <w:tcPr>
            <w:tcW w:w="3120" w:type="dxa"/>
            <w:shd w:val="clear" w:color="auto" w:fill="F2F2F2"/>
          </w:tcPr>
          <w:p>
            <w:pPr/>
            <w:r>
              <w:t xml:space="preserve">Comment</w:t>
            </w:r>
          </w:p>
        </w:tc>
      </w:tr>
      <w:tr>
        <w:tc>
          <w:tcPr>
            <w:tcW w:w="3120" w:type="dxa"/>
          </w:tcPr>
          <w:p>
            <w:pPr/>
            <w:r>
              <w:t xml:space="preserve">Classify competitors as direct (5 Indian majors), indirect (Cognizant, Capgemini) and aspirational (Accenture)</w:t>
            </w:r>
          </w:p>
        </w:tc>
        <w:tc>
          <w:tcPr>
            <w:tcW w:w="3120" w:type="dxa"/>
          </w:tcPr>
          <w:p>
            <w:pPr/>
            <w:r>
              <w:t xml:space="preserve">Report Section 5; Slide 7</w:t>
            </w:r>
          </w:p>
        </w:tc>
        <w:tc>
          <w:tcPr>
            <w:tcW w:w="3120" w:type="dxa"/>
          </w:tcPr>
          <w:p>
            <w:pPr/>
            <w:r>
              <w:t xml:space="preserve">Cognizant is arguably a direct competitor (see flag F13)</w:t>
            </w:r>
          </w:p>
        </w:tc>
      </w:tr>
      <w:tr>
        <w:tc>
          <w:tcPr>
            <w:tcW w:w="3120" w:type="dxa"/>
          </w:tcPr>
          <w:p>
            <w:pPr/>
            <w:r>
              <w:t xml:space="preserve">Benchmark Capgemini? </w:t>
            </w:r>
            <w:r>
              <w:rPr>
                <w:b/>
              </w:rPr>
              <w:t xml:space="preserve">No</w:t>
            </w:r>
            <w:r>
              <w:t xml:space="preserve">, owing to limited disclosure</w:t>
            </w:r>
          </w:p>
        </w:tc>
        <w:tc>
          <w:tcPr>
            <w:tcW w:w="3120" w:type="dxa"/>
          </w:tcPr>
          <w:p>
            <w:pPr/>
            <w:r>
              <w:t xml:space="preserve">Report Section 5.2</w:t>
            </w:r>
          </w:p>
        </w:tc>
        <w:tc>
          <w:tcPr>
            <w:tcW w:w="3120" w:type="dxa"/>
          </w:tcPr>
          <w:p>
            <w:pPr/>
            <w:r>
              <w:t xml:space="preserve">Yet it appears in the competitor map</w:t>
            </w:r>
          </w:p>
        </w:tc>
      </w:tr>
      <w:tr>
        <w:tc>
          <w:tcPr>
            <w:tcW w:w="3120" w:type="dxa"/>
          </w:tcPr>
          <w:p>
            <w:pPr/>
            <w:r>
              <w:t xml:space="preserve">Treat cross-company comparisons as directional only, given different fiscal year-ends</w:t>
            </w:r>
          </w:p>
        </w:tc>
        <w:tc>
          <w:tcPr>
            <w:tcW w:w="3120" w:type="dxa"/>
          </w:tcPr>
          <w:p>
            <w:pPr/>
            <w:r>
              <w:t xml:space="preserve">Report Section 6</w:t>
            </w:r>
          </w:p>
        </w:tc>
        <w:tc>
          <w:tcPr>
            <w:tcW w:w="3120" w:type="dxa"/>
          </w:tcPr>
          <w:p>
            <w:pPr/>
            <w:r>
              <w:t xml:space="preserve">The caveat is dropped in the deck</w:t>
            </w:r>
          </w:p>
        </w:tc>
      </w:tr>
      <w:tr>
        <w:tc>
          <w:tcPr>
            <w:tcW w:w="3120" w:type="dxa"/>
          </w:tcPr>
          <w:p>
            <w:pPr/>
            <w:r>
              <w:t xml:space="preserve">Use Cognizant guidance as a proxy for full-year results</w:t>
            </w:r>
          </w:p>
        </w:tc>
        <w:tc>
          <w:tcPr>
            <w:tcW w:w="3120" w:type="dxa"/>
          </w:tcPr>
          <w:p>
            <w:pPr/>
            <w:r>
              <w:t xml:space="preserve">Report Section 6 footnote</w:t>
            </w:r>
          </w:p>
        </w:tc>
        <w:tc>
          <w:tcPr>
            <w:tcW w:w="3120" w:type="dxa"/>
          </w:tcPr>
          <w:p>
            <w:pPr/>
            <w:r>
              <w:t xml:space="preserve">Self-flagged as approximate</w:t>
            </w:r>
          </w:p>
        </w:tc>
      </w:tr>
      <w:tr>
        <w:tc>
          <w:tcPr>
            <w:tcW w:w="3120" w:type="dxa"/>
          </w:tcPr>
          <w:p>
            <w:pPr/>
            <w:r>
              <w:t xml:space="preserve">Position HCLTech as "growth leader, margin challenger"</w:t>
            </w:r>
          </w:p>
        </w:tc>
        <w:tc>
          <w:tcPr>
            <w:tcW w:w="3120" w:type="dxa"/>
          </w:tcPr>
          <w:p>
            <w:pPr/>
            <w:r>
              <w:t xml:space="preserve">Section 9; Slide 12</w:t>
            </w:r>
          </w:p>
        </w:tc>
        <w:tc>
          <w:tcPr>
            <w:tcW w:w="3120" w:type="dxa"/>
          </w:tcPr>
          <w:p>
            <w:pPr/>
            <w:r>
              <w:t xml:space="preserve">Rests on the growth-ranking claim in F5</w:t>
            </w:r>
          </w:p>
        </w:tc>
      </w:tr>
      <w:tr>
        <w:tc>
          <w:tcPr>
            <w:tcW w:w="3120" w:type="dxa"/>
          </w:tcPr>
          <w:p>
            <w:pPr/>
            <w:r>
              <w:t xml:space="preserve">Track four metrics going forward</w:t>
            </w:r>
          </w:p>
        </w:tc>
        <w:tc>
          <w:tcPr>
            <w:tcW w:w="3120" w:type="dxa"/>
          </w:tcPr>
          <w:p>
            <w:pPr/>
            <w:r>
              <w:t xml:space="preserve">Section 10; Slide 12</w:t>
            </w:r>
          </w:p>
        </w:tc>
        <w:tc>
          <w:tcPr>
            <w:tcW w:w="3120" w:type="dxa"/>
          </w:tcPr>
          <w:p>
            <w:pPr/>
            <w:r>
              <w:t xml:space="preserve">No thresholds, owners or cadence</w:t>
            </w:r>
          </w:p>
        </w:tc>
      </w:tr>
    </w:tbl>
    <w:p>
      <w:pPr>
        <w:pStyle w:val="Heading3"/>
      </w:pPr>
      <w:r>
        <w:t xml:space="preserve">4.2 Decisions the documents leave open</w:t>
      </w:r>
    </w:p>
    <w:p>
      <w:pPr>
        <w:pStyle w:val="ListParagraph"/>
        <w:numPr>
          <w:ilvl w:val="0"/>
          <w:numId w:val="3"/>
        </w:numPr>
      </w:pPr>
      <w:r>
        <w:t xml:space="preserve">Which Word version (A or B) is the version of record, and whether Appendix A stays in the version that circulates.</w:t>
      </w:r>
    </w:p>
    <w:p>
      <w:pPr>
        <w:pStyle w:val="ListParagraph"/>
        <w:numPr>
          <w:ilvl w:val="0"/>
          <w:numId w:val="3"/>
        </w:numPr>
      </w:pPr>
      <w:r>
        <w:t xml:space="preserve">Whether to refresh the analysis to FY2026 data before it is used.</w:t>
      </w:r>
    </w:p>
    <w:p>
      <w:pPr>
        <w:pStyle w:val="ListParagraph"/>
        <w:numPr>
          <w:ilvl w:val="0"/>
          <w:numId w:val="3"/>
        </w:numPr>
      </w:pPr>
      <w:r>
        <w:t xml:space="preserve">Whether Capgemini, and any other peers, should be benchmarked.</w:t>
      </w:r>
    </w:p>
    <w:p>
      <w:pPr>
        <w:pStyle w:val="ListParagraph"/>
        <w:numPr>
          <w:ilvl w:val="0"/>
          <w:numId w:val="3"/>
        </w:numPr>
      </w:pPr>
      <w:r>
        <w:t xml:space="preserve">What action the audience should take. The report offers no recommendations beyond monitoring: no investment, pricing, partnership or M&amp;A guidance, and no definition of what margin gap or ARR growth would trigger a response.</w:t>
      </w:r>
    </w:p>
    <w:p>
      <w:pPr>
        <w:pStyle w:val="ListParagraph"/>
        <w:numPr>
          <w:ilvl w:val="0"/>
          <w:numId w:val="3"/>
        </w:numPr>
      </w:pPr>
      <w:r>
        <w:t xml:space="preserve">For the quantum article: whether it belongs in this review at all, and its publishing channel and owner.</w:t>
      </w:r>
    </w:p>
    <w:p>
      <w:pPr>
        <w:pStyle w:val="Heading2"/>
      </w:pPr>
      <w:r>
        <w:t xml:space="preserve">5. Missing Information</w:t>
      </w:r>
    </w:p>
    <w:p>
      <w:pPr/>
      <w:r>
        <w:rPr>
          <w:b/>
        </w:rPr>
        <w:t xml:space="preserve">Across the HCLTech set</w:t>
      </w:r>
    </w:p>
    <w:p>
      <w:pPr>
        <w:pStyle w:val="ListParagraph"/>
        <w:numPr>
          <w:ilvl w:val="0"/>
          <w:numId w:val="4"/>
        </w:numPr>
      </w:pPr>
      <w:r>
        <w:t xml:space="preserve">Author, date, version and approver. Appendix A refers to an "analyst", but no name or role appears.</w:t>
      </w:r>
    </w:p>
    <w:p>
      <w:pPr>
        <w:pStyle w:val="ListParagraph"/>
        <w:numPr>
          <w:ilvl w:val="0"/>
          <w:numId w:val="4"/>
        </w:numPr>
      </w:pPr>
      <w:r>
        <w:t xml:space="preserve">Intended audience and the decision the report supports.</w:t>
      </w:r>
    </w:p>
    <w:p>
      <w:pPr>
        <w:pStyle w:val="ListParagraph"/>
        <w:numPr>
          <w:ilvl w:val="0"/>
          <w:numId w:val="4"/>
        </w:numPr>
      </w:pPr>
      <w:r>
        <w:t xml:space="preserve">Annual report page or section references for each figure, and URLs for peer sources.</w:t>
      </w:r>
    </w:p>
    <w:p>
      <w:pPr>
        <w:pStyle w:val="ListParagraph"/>
        <w:numPr>
          <w:ilvl w:val="0"/>
          <w:numId w:val="4"/>
        </w:numPr>
      </w:pPr>
      <w:r>
        <w:t xml:space="preserve">Prior-year comparatives for most peers, so "improving" or "declining" claims cannot be checked.</w:t>
      </w:r>
    </w:p>
    <w:p>
      <w:pPr>
        <w:pStyle w:val="ListParagraph"/>
        <w:numPr>
          <w:ilvl w:val="0"/>
          <w:numId w:val="4"/>
        </w:numPr>
      </w:pPr>
      <w:r>
        <w:t xml:space="preserve">Net profit for Infosys, Wipro, Cognizant and Accenture (marked "n/d"), and CC growth for TCS.</w:t>
      </w:r>
    </w:p>
    <w:p>
      <w:pPr>
        <w:pStyle w:val="ListParagraph"/>
        <w:numPr>
          <w:ilvl w:val="0"/>
          <w:numId w:val="4"/>
        </w:numPr>
      </w:pPr>
      <w:r>
        <w:t xml:space="preserve">The full list of the 12 growth vectors, and the 4 ITBS service lines mentioned on Slide 3 but not described anywhere in the report.</w:t>
      </w:r>
    </w:p>
    <w:p>
      <w:pPr>
        <w:pStyle w:val="ListParagraph"/>
        <w:numPr>
          <w:ilvl w:val="0"/>
          <w:numId w:val="4"/>
        </w:numPr>
      </w:pPr>
      <w:r>
        <w:t xml:space="preserve">The basis for "Top 20 clients about 30%", ROE, attrition ranking versus peers, and the market-size figures (US$1.5 trillion, US$175B, US$150-170B). The report presents these as management estimates but gives no citation.</w:t>
      </w:r>
    </w:p>
    <w:p>
      <w:pPr>
        <w:pStyle w:val="ListParagraph"/>
        <w:numPr>
          <w:ilvl w:val="0"/>
          <w:numId w:val="4"/>
        </w:numPr>
      </w:pPr>
      <w:r>
        <w:t xml:space="preserve">Chart data on Slides 4 and 8, which did not extract as text.</w:t>
      </w:r>
    </w:p>
    <w:p>
      <w:pPr>
        <w:pStyle w:val="ListParagraph"/>
        <w:numPr>
          <w:ilvl w:val="0"/>
          <w:numId w:val="4"/>
        </w:numPr>
      </w:pPr>
      <w:r>
        <w:t xml:space="preserve">The footer page-number field in both Word files appears blank ("Page of"). This is cosmetic and probably just an unrefreshed field.</w:t>
      </w:r>
    </w:p>
    <w:p>
      <w:pPr/>
      <w:r>
        <w:rPr>
          <w:b/>
        </w:rPr>
        <w:t xml:space="preserve">Quantum article</w:t>
      </w:r>
    </w:p>
    <w:p>
      <w:pPr>
        <w:pStyle w:val="ListParagraph"/>
        <w:numPr>
          <w:ilvl w:val="0"/>
          <w:numId w:val="5"/>
        </w:numPr>
      </w:pPr>
      <w:r>
        <w:t xml:space="preserve">Citations for every factual claim: timelines, qubit counts, post-quantum standards, and government investment.</w:t>
      </w:r>
    </w:p>
    <w:p>
      <w:pPr>
        <w:pStyle w:val="ListParagraph"/>
        <w:numPr>
          <w:ilvl w:val="0"/>
          <w:numId w:val="5"/>
        </w:numPr>
      </w:pPr>
      <w:r>
        <w:t xml:space="preserve">Named examples such as companies, machines or standards, which would support credibility and SEO.</w:t>
      </w:r>
    </w:p>
    <w:p>
      <w:pPr>
        <w:pStyle w:val="ListParagraph"/>
        <w:numPr>
          <w:ilvl w:val="0"/>
          <w:numId w:val="5"/>
        </w:numPr>
      </w:pPr>
      <w:r>
        <w:t xml:space="preserve">Meta tags, internal links, a call to action and a publish date.</w:t>
      </w:r>
    </w:p>
    <w:p>
      <w:pPr>
        <w:pStyle w:val="Heading2"/>
      </w:pPr>
      <w:r>
        <w:t xml:space="preserve">6. Items Requiring Human Review</w:t>
      </w:r>
    </w:p>
    <w:p>
      <w:pPr/>
      <w:r>
        <w:t xml:space="preserve">Priority: </w:t>
      </w:r>
      <w:r>
        <w:rPr>
          <w:b/>
        </w:rPr>
        <w:t xml:space="preserve">High</w:t>
      </w:r>
      <w:r>
        <w:t xml:space="preserve"> = could mislead a decision or embarrass if circulated. </w:t>
      </w:r>
      <w:r>
        <w:rPr>
          <w:b/>
        </w:rPr>
        <w:t xml:space="preserve">Medium</w:t>
      </w:r>
      <w:r>
        <w:t xml:space="preserve"> = should be corrected before wider use. </w:t>
      </w:r>
      <w:r>
        <w:rPr>
          <w:b/>
        </w:rPr>
        <w:t xml:space="preserve">Low</w:t>
      </w:r>
      <w:r>
        <w:t xml:space="preserve"> = polish.</w:t>
      </w:r>
    </w:p>
    <w:p>
      <w:pPr>
        <w:pStyle w:val="Heading3"/>
      </w:pPr>
      <w:r>
        <w:t xml:space="preserve">6.1 HCLTech analysis (files A, B, C)</w:t>
      </w:r>
    </w:p>
    <w:tbl>
      <w:tblPr>
        <w:tblStyle w:val="TableGrid"/>
        <w:tblW w:w="0" w:type="auto"/>
        <w:tblLayout w:type="fixed"/>
        <w:tblLook w:val="04A0" w:firstRow="1" w:lastRow="0" w:firstColumn="0" w:lastColumn="0" w:noHBand="0" w:noVBand="1"/>
      </w:tblPr>
      <w:tblGrid>
        <w:gridCol w:w="1872"/>
        <w:gridCol w:w="1872"/>
        <w:gridCol w:w="1872"/>
        <w:gridCol w:w="1872"/>
        <w:gridCol w:w="1872"/>
      </w:tblGrid>
      <w:tr>
        <w:trPr>
          <w:tblHeader/>
        </w:trPr>
        <w:tc>
          <w:tcPr>
            <w:tcW w:w="1872" w:type="dxa"/>
            <w:shd w:val="clear" w:color="auto" w:fill="F2F2F2"/>
          </w:tcPr>
          <w:p>
            <w:pPr/>
            <w:r>
              <w:t xml:space="preserve">ID</w:t>
            </w:r>
          </w:p>
        </w:tc>
        <w:tc>
          <w:tcPr>
            <w:tcW w:w="1872" w:type="dxa"/>
            <w:shd w:val="clear" w:color="auto" w:fill="F2F2F2"/>
          </w:tcPr>
          <w:p>
            <w:pPr/>
            <w:r>
              <w:t xml:space="preserve">Priority</w:t>
            </w:r>
          </w:p>
        </w:tc>
        <w:tc>
          <w:tcPr>
            <w:tcW w:w="1872" w:type="dxa"/>
            <w:shd w:val="clear" w:color="auto" w:fill="F2F2F2"/>
          </w:tcPr>
          <w:p>
            <w:pPr/>
            <w:r>
              <w:t xml:space="preserve">Where</w:t>
            </w:r>
          </w:p>
        </w:tc>
        <w:tc>
          <w:tcPr>
            <w:tcW w:w="1872" w:type="dxa"/>
            <w:shd w:val="clear" w:color="auto" w:fill="F2F2F2"/>
          </w:tcPr>
          <w:p>
            <w:pPr/>
            <w:r>
              <w:t xml:space="preserve">Issue</w:t>
            </w:r>
          </w:p>
        </w:tc>
        <w:tc>
          <w:tcPr>
            <w:tcW w:w="1872" w:type="dxa"/>
            <w:shd w:val="clear" w:color="auto" w:fill="F2F2F2"/>
          </w:tcPr>
          <w:p>
            <w:pPr/>
            <w:r>
              <w:t xml:space="preserve">Suggested action</w:t>
            </w:r>
          </w:p>
        </w:tc>
      </w:tr>
      <w:tr>
        <w:tc>
          <w:tcPr>
            <w:tcW w:w="1872" w:type="dxa"/>
          </w:tcPr>
          <w:p>
            <w:pPr/>
            <w:r>
              <w:t xml:space="preserve">F1</w:t>
            </w:r>
          </w:p>
        </w:tc>
        <w:tc>
          <w:tcPr>
            <w:tcW w:w="1872" w:type="dxa"/>
          </w:tcPr>
          <w:p>
            <w:pPr/>
            <w:r>
              <w:t xml:space="preserve">High</w:t>
            </w:r>
          </w:p>
        </w:tc>
        <w:tc>
          <w:tcPr>
            <w:tcW w:w="1872" w:type="dxa"/>
          </w:tcPr>
          <w:p>
            <w:pPr/>
            <w:r>
              <w:t xml:space="preserve">Whole analysis</w:t>
            </w:r>
          </w:p>
        </w:tc>
        <w:tc>
          <w:tcPr>
            <w:tcW w:w="1872" w:type="dxa"/>
          </w:tcPr>
          <w:p>
            <w:pPr/>
            <w:r>
              <w:t xml:space="preserve">The analysis uses FY2025 (to March 2025) data, but today is 8 October 2026. FY2026 results for HCLTech and most peers, and Accenture's FY2026, have very likely been published. The report also cites LTIMindtree's "2026" repositioning, so it mixes dates. I have not checked the newer figures.</w:t>
            </w:r>
          </w:p>
        </w:tc>
        <w:tc>
          <w:tcPr>
            <w:tcW w:w="1872" w:type="dxa"/>
          </w:tcPr>
          <w:p>
            <w:pPr/>
            <w:r>
              <w:t xml:space="preserve">Decide whether to refresh. If the report stays as is, label it clearly as an FY2025 snapshot.</w:t>
            </w:r>
          </w:p>
        </w:tc>
      </w:tr>
      <w:tr>
        <w:tc>
          <w:tcPr>
            <w:tcW w:w="1872" w:type="dxa"/>
          </w:tcPr>
          <w:p>
            <w:pPr/>
            <w:r>
              <w:t xml:space="preserve">F2</w:t>
            </w:r>
          </w:p>
        </w:tc>
        <w:tc>
          <w:tcPr>
            <w:tcW w:w="1872" w:type="dxa"/>
          </w:tcPr>
          <w:p>
            <w:pPr/>
            <w:r>
              <w:t xml:space="preserve">High</w:t>
            </w:r>
          </w:p>
        </w:tc>
        <w:tc>
          <w:tcPr>
            <w:tcW w:w="1872" w:type="dxa"/>
          </w:tcPr>
          <w:p>
            <w:pPr/>
            <w:r>
              <w:t xml:space="preserve">Report Section 6 and Slide 8</w:t>
            </w:r>
          </w:p>
        </w:tc>
        <w:tc>
          <w:tcPr>
            <w:tcW w:w="1872" w:type="dxa"/>
          </w:tcPr>
          <w:p>
            <w:pPr/>
            <w:r>
              <w:t xml:space="preserve">Cognizant revenue (about US$21.05B), growth and margin come from guidance, not final results. Final results should now exist.</w:t>
            </w:r>
          </w:p>
        </w:tc>
        <w:tc>
          <w:tcPr>
            <w:tcW w:w="1872" w:type="dxa"/>
          </w:tcPr>
          <w:p>
            <w:pPr/>
            <w:r>
              <w:t xml:space="preserve">Replace with reported figures, or keep the "approximate" label on the slide too</w:t>
            </w:r>
          </w:p>
        </w:tc>
      </w:tr>
      <w:tr>
        <w:tc>
          <w:tcPr>
            <w:tcW w:w="1872" w:type="dxa"/>
          </w:tcPr>
          <w:p>
            <w:pPr/>
            <w:r>
              <w:t xml:space="preserve">F3</w:t>
            </w:r>
          </w:p>
        </w:tc>
        <w:tc>
          <w:tcPr>
            <w:tcW w:w="1872" w:type="dxa"/>
          </w:tcPr>
          <w:p>
            <w:pPr/>
            <w:r>
              <w:t xml:space="preserve">High</w:t>
            </w:r>
          </w:p>
        </w:tc>
        <w:tc>
          <w:tcPr>
            <w:tcW w:w="1872" w:type="dxa"/>
          </w:tcPr>
          <w:p>
            <w:pPr/>
            <w:r>
              <w:t xml:space="preserve">Section 6.1 vs table</w:t>
            </w:r>
          </w:p>
        </w:tc>
        <w:tc>
          <w:tcPr>
            <w:tcW w:w="1872" w:type="dxa"/>
          </w:tcPr>
          <w:p>
            <w:pPr/>
            <w:r>
              <w:t xml:space="preserve">The text says Cognizant has a "modestly higher margin profile" than HCLTech. The table shows 15.7-16.1% against HCLTech's 18.3%, so Cognizant's margin is lower.</w:t>
            </w:r>
          </w:p>
        </w:tc>
        <w:tc>
          <w:tcPr>
            <w:tcW w:w="1872" w:type="dxa"/>
          </w:tcPr>
          <w:p>
            <w:pPr/>
            <w:r>
              <w:t xml:space="preserve">Correct the sentence</w:t>
            </w:r>
          </w:p>
        </w:tc>
      </w:tr>
      <w:tr>
        <w:tc>
          <w:tcPr>
            <w:tcW w:w="1872" w:type="dxa"/>
          </w:tcPr>
          <w:p>
            <w:pPr/>
            <w:r>
              <w:t xml:space="preserve">F4</w:t>
            </w:r>
          </w:p>
        </w:tc>
        <w:tc>
          <w:tcPr>
            <w:tcW w:w="1872" w:type="dxa"/>
          </w:tcPr>
          <w:p>
            <w:pPr/>
            <w:r>
              <w:t xml:space="preserve">High</w:t>
            </w:r>
          </w:p>
        </w:tc>
        <w:tc>
          <w:tcPr>
            <w:tcW w:w="1872" w:type="dxa"/>
          </w:tcPr>
          <w:p>
            <w:pPr/>
            <w:r>
              <w:t xml:space="preserve">Section 9</w:t>
            </w:r>
          </w:p>
        </w:tc>
        <w:tc>
          <w:tcPr>
            <w:tcW w:w="1872" w:type="dxa"/>
          </w:tcPr>
          <w:p>
            <w:pPr/>
            <w:r>
              <w:t xml:space="preserve">HCLTech vs Cognizant is described as "comparable or modestly lower margin", which contradicts the same data</w:t>
            </w:r>
          </w:p>
        </w:tc>
        <w:tc>
          <w:tcPr>
            <w:tcW w:w="1872" w:type="dxa"/>
          </w:tcPr>
          <w:p>
            <w:pPr/>
            <w:r>
              <w:t xml:space="preserve">Correct the sentence</w:t>
            </w:r>
          </w:p>
        </w:tc>
      </w:tr>
      <w:tr>
        <w:tc>
          <w:tcPr>
            <w:tcW w:w="1872" w:type="dxa"/>
          </w:tcPr>
          <w:p>
            <w:pPr/>
            <w:r>
              <w:t xml:space="preserve">F5</w:t>
            </w:r>
          </w:p>
        </w:tc>
        <w:tc>
          <w:tcPr>
            <w:tcW w:w="1872" w:type="dxa"/>
          </w:tcPr>
          <w:p>
            <w:pPr/>
            <w:r>
              <w:t xml:space="preserve">High</w:t>
            </w:r>
          </w:p>
        </w:tc>
        <w:tc>
          <w:tcPr>
            <w:tcW w:w="1872" w:type="dxa"/>
          </w:tcPr>
          <w:p>
            <w:pPr/>
            <w:r>
              <w:t xml:space="preserve">Exec summary, 8.1, 9; Slides 2, 10, 12</w:t>
            </w:r>
          </w:p>
        </w:tc>
        <w:tc>
          <w:tcPr>
            <w:tcW w:w="1872" w:type="dxa"/>
          </w:tcPr>
          <w:p>
            <w:pPr/>
            <w:r>
              <w:t xml:space="preserve">"Fastest-growing top-five Indian IT major" and "industry-leading growth" claims. LTIMindtree shows +5.0% CC against HCLTech's +4.7%. TCS has no CC figure, and Infosys is only 0.5 point behind. The "third consecutive year" claim has no support in the report.</w:t>
            </w:r>
          </w:p>
        </w:tc>
        <w:tc>
          <w:tcPr>
            <w:tcW w:w="1872" w:type="dxa"/>
          </w:tcPr>
          <w:p>
            <w:pPr/>
            <w:r>
              <w:t xml:space="preserve">Define "top five" explicitly, use like-for-like CC numbers, and cite the source for the three-year claim</w:t>
            </w:r>
          </w:p>
        </w:tc>
      </w:tr>
      <w:tr>
        <w:tc>
          <w:tcPr>
            <w:tcW w:w="1872" w:type="dxa"/>
          </w:tcPr>
          <w:p>
            <w:pPr/>
            <w:r>
              <w:t xml:space="preserve">F6</w:t>
            </w:r>
          </w:p>
        </w:tc>
        <w:tc>
          <w:tcPr>
            <w:tcW w:w="1872" w:type="dxa"/>
          </w:tcPr>
          <w:p>
            <w:pPr/>
            <w:r>
              <w:t xml:space="preserve">High</w:t>
            </w:r>
          </w:p>
        </w:tc>
        <w:tc>
          <w:tcPr>
            <w:tcW w:w="1872" w:type="dxa"/>
          </w:tcPr>
          <w:p>
            <w:pPr/>
            <w:r>
              <w:t xml:space="preserve">Exec summary vs Section 1 text</w:t>
            </w:r>
          </w:p>
        </w:tc>
        <w:tc>
          <w:tcPr>
            <w:tcW w:w="1872" w:type="dxa"/>
          </w:tcPr>
          <w:p>
            <w:pPr/>
            <w:r>
              <w:t xml:space="preserve">One passage says FY25 was HCLTech's "second consecutive year" of best-in-class growth, another says "third consecutive year"</w:t>
            </w:r>
          </w:p>
        </w:tc>
        <w:tc>
          <w:tcPr>
            <w:tcW w:w="1872" w:type="dxa"/>
          </w:tcPr>
          <w:p>
            <w:pPr/>
            <w:r>
              <w:t xml:space="preserve">Confirm against the annual report and make consistent</w:t>
            </w:r>
          </w:p>
        </w:tc>
      </w:tr>
      <w:tr>
        <w:tc>
          <w:tcPr>
            <w:tcW w:w="1872" w:type="dxa"/>
          </w:tcPr>
          <w:p>
            <w:pPr/>
            <w:r>
              <w:t xml:space="preserve">F7</w:t>
            </w:r>
          </w:p>
        </w:tc>
        <w:tc>
          <w:tcPr>
            <w:tcW w:w="1872" w:type="dxa"/>
          </w:tcPr>
          <w:p>
            <w:pPr/>
            <w:r>
              <w:t xml:space="preserve">High</w:t>
            </w:r>
          </w:p>
        </w:tc>
        <w:tc>
          <w:tcPr>
            <w:tcW w:w="1872" w:type="dxa"/>
          </w:tcPr>
          <w:p>
            <w:pPr/>
            <w:r>
              <w:t xml:space="preserve">Exec summary, 8.1, 9; Slide 2</w:t>
            </w:r>
          </w:p>
        </w:tc>
        <w:tc>
          <w:tcPr>
            <w:tcW w:w="1872" w:type="dxa"/>
          </w:tcPr>
          <w:p>
            <w:pPr/>
            <w:r>
              <w:t xml:space="preserve">Software-peer claim is inconsistent. It says peers "other than Infosys and Wipro" cannot match HCLTech's annuity software, but Section 9 and Slide 12 say HCLTech has a more diversified software business than Wipro. Slide 2 says "most peers cannot match" with no exception.</w:t>
            </w:r>
          </w:p>
        </w:tc>
        <w:tc>
          <w:tcPr>
            <w:tcW w:w="1872" w:type="dxa"/>
          </w:tcPr>
          <w:p>
            <w:pPr/>
            <w:r>
              <w:t xml:space="preserve">Pick one position and support it with peer software revenue data</w:t>
            </w:r>
          </w:p>
        </w:tc>
      </w:tr>
      <w:tr>
        <w:tc>
          <w:tcPr>
            <w:tcW w:w="1872" w:type="dxa"/>
          </w:tcPr>
          <w:p>
            <w:pPr/>
            <w:r>
              <w:t xml:space="preserve">F8</w:t>
            </w:r>
          </w:p>
        </w:tc>
        <w:tc>
          <w:tcPr>
            <w:tcW w:w="1872" w:type="dxa"/>
          </w:tcPr>
          <w:p>
            <w:pPr/>
            <w:r>
              <w:t xml:space="preserve">High</w:t>
            </w:r>
          </w:p>
        </w:tc>
        <w:tc>
          <w:tcPr>
            <w:tcW w:w="1872" w:type="dxa"/>
          </w:tcPr>
          <w:p>
            <w:pPr/>
            <w:r>
              <w:t xml:space="preserve">Section 7 (Infosys row)</w:t>
            </w:r>
          </w:p>
        </w:tc>
        <w:tc>
          <w:tcPr>
            <w:tcW w:w="1872" w:type="dxa"/>
          </w:tcPr>
          <w:p>
            <w:pPr/>
            <w:r>
              <w:t xml:space="preserve">The claim of a "larger, faster-growing enterprise software arm" conflicts with the 1.8% ARR growth reported in Section 8.2, and no Infosys software data is given</w:t>
            </w:r>
          </w:p>
        </w:tc>
        <w:tc>
          <w:tcPr>
            <w:tcW w:w="1872" w:type="dxa"/>
          </w:tcPr>
          <w:p>
            <w:pPr/>
            <w:r>
              <w:t xml:space="preserve">Remove or substantiate</w:t>
            </w:r>
          </w:p>
        </w:tc>
      </w:tr>
      <w:tr>
        <w:tc>
          <w:tcPr>
            <w:tcW w:w="1872" w:type="dxa"/>
          </w:tcPr>
          <w:p>
            <w:pPr/>
            <w:r>
              <w:t xml:space="preserve">F9</w:t>
            </w:r>
          </w:p>
        </w:tc>
        <w:tc>
          <w:tcPr>
            <w:tcW w:w="1872" w:type="dxa"/>
          </w:tcPr>
          <w:p>
            <w:pPr/>
            <w:r>
              <w:t xml:space="preserve">High</w:t>
            </w:r>
          </w:p>
        </w:tc>
        <w:tc>
          <w:tcPr>
            <w:tcW w:w="1872" w:type="dxa"/>
          </w:tcPr>
          <w:p>
            <w:pPr/>
            <w:r>
              <w:t xml:space="preserve">Deck vs report</w:t>
            </w:r>
          </w:p>
        </w:tc>
        <w:tc>
          <w:tcPr>
            <w:tcW w:w="1872" w:type="dxa"/>
          </w:tcPr>
          <w:p>
            <w:pPr/>
            <w:r>
              <w:t xml:space="preserve">Caveats are lost in the deck. The fiscal-year mismatch, the Cognizant guidance basis and the approximate Tech Mahindra and Wipro figures appear only in the Word report. Only a Wipro footnote survives.</w:t>
            </w:r>
          </w:p>
        </w:tc>
        <w:tc>
          <w:tcPr>
            <w:tcW w:w="1872" w:type="dxa"/>
          </w:tcPr>
          <w:p>
            <w:pPr/>
            <w:r>
              <w:t xml:space="preserve">Add a short methodology note to Slide 8</w:t>
            </w:r>
          </w:p>
        </w:tc>
      </w:tr>
      <w:tr>
        <w:tc>
          <w:tcPr>
            <w:tcW w:w="1872" w:type="dxa"/>
          </w:tcPr>
          <w:p>
            <w:pPr/>
            <w:r>
              <w:t xml:space="preserve">F10</w:t>
            </w:r>
          </w:p>
        </w:tc>
        <w:tc>
          <w:tcPr>
            <w:tcW w:w="1872" w:type="dxa"/>
          </w:tcPr>
          <w:p>
            <w:pPr/>
            <w:r>
              <w:t xml:space="preserve">Medium</w:t>
            </w:r>
          </w:p>
        </w:tc>
        <w:tc>
          <w:tcPr>
            <w:tcW w:w="1872" w:type="dxa"/>
          </w:tcPr>
          <w:p>
            <w:pPr/>
            <w:r>
              <w:t xml:space="preserve">Section 3.1</w:t>
            </w:r>
          </w:p>
        </w:tc>
        <w:tc>
          <w:tcPr>
            <w:tcW w:w="1872" w:type="dxa"/>
          </w:tcPr>
          <w:p>
            <w:pPr/>
            <w:r>
              <w:t xml:space="preserve">Net income margin is stated as 14.7%. Recomputed: 17,390 / 117,055 is about 14.9%. The "+50 bps" estimate also looks low; a back-calculation from the stated growth rates gives about +58 bps.</w:t>
            </w:r>
          </w:p>
        </w:tc>
        <w:tc>
          <w:tcPr>
            <w:tcW w:w="1872" w:type="dxa"/>
          </w:tcPr>
          <w:p>
            <w:pPr/>
            <w:r>
              <w:t xml:space="preserve">Recheck against the annual report</w:t>
            </w:r>
          </w:p>
        </w:tc>
      </w:tr>
      <w:tr>
        <w:tc>
          <w:tcPr>
            <w:tcW w:w="1872" w:type="dxa"/>
          </w:tcPr>
          <w:p>
            <w:pPr/>
            <w:r>
              <w:t xml:space="preserve">F11</w:t>
            </w:r>
          </w:p>
        </w:tc>
        <w:tc>
          <w:tcPr>
            <w:tcW w:w="1872" w:type="dxa"/>
          </w:tcPr>
          <w:p>
            <w:pPr/>
            <w:r>
              <w:t xml:space="preserve">Medium</w:t>
            </w:r>
          </w:p>
        </w:tc>
        <w:tc>
          <w:tcPr>
            <w:tcW w:w="1872" w:type="dxa"/>
          </w:tcPr>
          <w:p>
            <w:pPr/>
            <w:r>
              <w:t xml:space="preserve">Section 6 table</w:t>
            </w:r>
          </w:p>
        </w:tc>
        <w:tc>
          <w:tcPr>
            <w:tcW w:w="1872" w:type="dxa"/>
          </w:tcPr>
          <w:p>
            <w:pPr/>
            <w:r>
              <w:t xml:space="preserve">Mixed bases: Wipro uses IT Services revenue but group headcount. Net profit is in INR, USD or not disclosed. TCS growth is USD, not CC.</w:t>
            </w:r>
          </w:p>
        </w:tc>
        <w:tc>
          <w:tcPr>
            <w:tcW w:w="1872" w:type="dxa"/>
          </w:tcPr>
          <w:p>
            <w:pPr/>
            <w:r>
              <w:t xml:space="preserve">Add a basis column or footnotes</w:t>
            </w:r>
          </w:p>
        </w:tc>
      </w:tr>
      <w:tr>
        <w:tc>
          <w:tcPr>
            <w:tcW w:w="1872" w:type="dxa"/>
          </w:tcPr>
          <w:p>
            <w:pPr/>
            <w:r>
              <w:t xml:space="preserve">F12</w:t>
            </w:r>
          </w:p>
        </w:tc>
        <w:tc>
          <w:tcPr>
            <w:tcW w:w="1872" w:type="dxa"/>
          </w:tcPr>
          <w:p>
            <w:pPr/>
            <w:r>
              <w:t xml:space="preserve">Medium</w:t>
            </w:r>
          </w:p>
        </w:tc>
        <w:tc>
          <w:tcPr>
            <w:tcW w:w="1872" w:type="dxa"/>
          </w:tcPr>
          <w:p>
            <w:pPr/>
            <w:r>
              <w:t xml:space="preserve">Section 6.1</w:t>
            </w:r>
          </w:p>
        </w:tc>
        <w:tc>
          <w:tcPr>
            <w:tcW w:w="1872" w:type="dxa"/>
          </w:tcPr>
          <w:p>
            <w:pPr/>
            <w:r>
              <w:t xml:space="preserve">"Accenture ... lower margin than the Indian majors" is not true for Tech Mahindra (9.7%) and is roughly equal to LTIMindtree (14.5%)</w:t>
            </w:r>
          </w:p>
        </w:tc>
        <w:tc>
          <w:tcPr>
            <w:tcW w:w="1872" w:type="dxa"/>
          </w:tcPr>
          <w:p>
            <w:pPr/>
            <w:r>
              <w:t xml:space="preserve">Narrow the claim to TCS, Infosys and HCLTech</w:t>
            </w:r>
          </w:p>
        </w:tc>
      </w:tr>
      <w:tr>
        <w:tc>
          <w:tcPr>
            <w:tcW w:w="1872" w:type="dxa"/>
          </w:tcPr>
          <w:p>
            <w:pPr/>
            <w:r>
              <w:t xml:space="preserve">F13</w:t>
            </w:r>
          </w:p>
        </w:tc>
        <w:tc>
          <w:tcPr>
            <w:tcW w:w="1872" w:type="dxa"/>
          </w:tcPr>
          <w:p>
            <w:pPr/>
            <w:r>
              <w:t xml:space="preserve">Medium</w:t>
            </w:r>
          </w:p>
        </w:tc>
        <w:tc>
          <w:tcPr>
            <w:tcW w:w="1872" w:type="dxa"/>
          </w:tcPr>
          <w:p>
            <w:pPr/>
            <w:r>
              <w:t xml:space="preserve">Section 5.2 / Slide 7</w:t>
            </w:r>
          </w:p>
        </w:tc>
        <w:tc>
          <w:tcPr>
            <w:tcW w:w="1872" w:type="dxa"/>
          </w:tcPr>
          <w:p>
            <w:pPr/>
            <w:r>
              <w:t xml:space="preserve">Cognizant is labelled "indirect" yet described as competing "intensely" in HCLTech's core verticals. Capgemini is in the competitor map but not benchmarked. Section 5's closing paragraph names only 7 benchmarked peers.</w:t>
            </w:r>
          </w:p>
        </w:tc>
        <w:tc>
          <w:tcPr>
            <w:tcW w:w="1872" w:type="dxa"/>
          </w:tcPr>
          <w:p>
            <w:pPr/>
            <w:r>
              <w:t xml:space="preserve">Confirm classification and either benchmark Capgemini or state why not</w:t>
            </w:r>
          </w:p>
        </w:tc>
      </w:tr>
      <w:tr>
        <w:tc>
          <w:tcPr>
            <w:tcW w:w="1872" w:type="dxa"/>
          </w:tcPr>
          <w:p>
            <w:pPr/>
            <w:r>
              <w:t xml:space="preserve">F14</w:t>
            </w:r>
          </w:p>
        </w:tc>
        <w:tc>
          <w:tcPr>
            <w:tcW w:w="1872" w:type="dxa"/>
          </w:tcPr>
          <w:p>
            <w:pPr/>
            <w:r>
              <w:t xml:space="preserve">Medium</w:t>
            </w:r>
          </w:p>
        </w:tc>
        <w:tc>
          <w:tcPr>
            <w:tcW w:w="1872" w:type="dxa"/>
          </w:tcPr>
          <w:p>
            <w:pPr/>
            <w:r>
              <w:t xml:space="preserve">Section 2.2</w:t>
            </w:r>
          </w:p>
        </w:tc>
        <w:tc>
          <w:tcPr>
            <w:tcW w:w="1872" w:type="dxa"/>
          </w:tcPr>
          <w:p>
            <w:pPr/>
            <w:r>
              <w:t xml:space="preserve">Telecom, Media, Publishing and Entertainment growth of 43.4% looks unusually high for a vertical. It may reflect acquisitions or a small base.</w:t>
            </w:r>
          </w:p>
        </w:tc>
        <w:tc>
          <w:tcPr>
            <w:tcW w:w="1872" w:type="dxa"/>
          </w:tcPr>
          <w:p>
            <w:pPr/>
            <w:r>
              <w:t xml:space="preserve">Verify and add context</w:t>
            </w:r>
          </w:p>
        </w:tc>
      </w:tr>
      <w:tr>
        <w:tc>
          <w:tcPr>
            <w:tcW w:w="1872" w:type="dxa"/>
          </w:tcPr>
          <w:p>
            <w:pPr/>
            <w:r>
              <w:t xml:space="preserve">F15</w:t>
            </w:r>
          </w:p>
        </w:tc>
        <w:tc>
          <w:tcPr>
            <w:tcW w:w="1872" w:type="dxa"/>
          </w:tcPr>
          <w:p>
            <w:pPr/>
            <w:r>
              <w:t xml:space="preserve">Medium</w:t>
            </w:r>
          </w:p>
        </w:tc>
        <w:tc>
          <w:tcPr>
            <w:tcW w:w="1872" w:type="dxa"/>
          </w:tcPr>
          <w:p>
            <w:pPr/>
            <w:r>
              <w:t xml:space="preserve">Slide 4</w:t>
            </w:r>
          </w:p>
        </w:tc>
        <w:tc>
          <w:tcPr>
            <w:tcW w:w="1872" w:type="dxa"/>
          </w:tcPr>
          <w:p>
            <w:pPr/>
            <w:r>
              <w:t xml:space="preserve">The title "Five years of consistent double-digit revenue CAGR" is misleading: FY25 growth was 6.5% (INR) and 4.7% CC, and the 11.6% is a four-period average</w:t>
            </w:r>
          </w:p>
        </w:tc>
        <w:tc>
          <w:tcPr>
            <w:tcW w:w="1872" w:type="dxa"/>
          </w:tcPr>
          <w:p>
            <w:pPr/>
            <w:r>
              <w:t xml:space="preserve">Reword</w:t>
            </w:r>
          </w:p>
        </w:tc>
      </w:tr>
      <w:tr>
        <w:tc>
          <w:tcPr>
            <w:tcW w:w="1872" w:type="dxa"/>
          </w:tcPr>
          <w:p>
            <w:pPr/>
            <w:r>
              <w:t xml:space="preserve">F16</w:t>
            </w:r>
          </w:p>
        </w:tc>
        <w:tc>
          <w:tcPr>
            <w:tcW w:w="1872" w:type="dxa"/>
          </w:tcPr>
          <w:p>
            <w:pPr/>
            <w:r>
              <w:t xml:space="preserve">Medium</w:t>
            </w:r>
          </w:p>
        </w:tc>
        <w:tc>
          <w:tcPr>
            <w:tcW w:w="1872" w:type="dxa"/>
          </w:tcPr>
          <w:p>
            <w:pPr/>
            <w:r>
              <w:t xml:space="preserve">Slide 5 vs Section 3.1</w:t>
            </w:r>
          </w:p>
        </w:tc>
        <w:tc>
          <w:tcPr>
            <w:tcW w:w="1872" w:type="dxa"/>
          </w:tcPr>
          <w:p>
            <w:pPr/>
            <w:r>
              <w:t xml:space="preserve">The deck says "industry-low" attrition; the report says "among the lowest", and no peer attrition data is shown</w:t>
            </w:r>
          </w:p>
        </w:tc>
        <w:tc>
          <w:tcPr>
            <w:tcW w:w="1872" w:type="dxa"/>
          </w:tcPr>
          <w:p>
            <w:pPr/>
            <w:r>
              <w:t xml:space="preserve">Align wording to the supported claim</w:t>
            </w:r>
          </w:p>
        </w:tc>
      </w:tr>
      <w:tr>
        <w:tc>
          <w:tcPr>
            <w:tcW w:w="1872" w:type="dxa"/>
          </w:tcPr>
          <w:p>
            <w:pPr/>
            <w:r>
              <w:t xml:space="preserve">F17</w:t>
            </w:r>
          </w:p>
        </w:tc>
        <w:tc>
          <w:tcPr>
            <w:tcW w:w="1872" w:type="dxa"/>
          </w:tcPr>
          <w:p>
            <w:pPr/>
            <w:r>
              <w:t xml:space="preserve">Medium</w:t>
            </w:r>
          </w:p>
        </w:tc>
        <w:tc>
          <w:tcPr>
            <w:tcW w:w="1872" w:type="dxa"/>
          </w:tcPr>
          <w:p>
            <w:pPr/>
            <w:r>
              <w:t xml:space="preserve">Sources</w:t>
            </w:r>
          </w:p>
        </w:tc>
        <w:tc>
          <w:tcPr>
            <w:tcW w:w="1872" w:type="dxa"/>
          </w:tcPr>
          <w:p>
            <w:pPr/>
            <w:r>
              <w:t xml:space="preserve">Sources cite Cognizant "Q2 2025 results" but the report relies on guidance issued in October 2025, which suggests Q3 2025 results. Also the single primary source is a 423-page report with no page references.</w:t>
            </w:r>
          </w:p>
        </w:tc>
        <w:tc>
          <w:tcPr>
            <w:tcW w:w="1872" w:type="dxa"/>
          </w:tcPr>
          <w:p>
            <w:pPr/>
            <w:r>
              <w:t xml:space="preserve">Fix the source list and add page references</w:t>
            </w:r>
          </w:p>
        </w:tc>
      </w:tr>
      <w:tr>
        <w:tc>
          <w:tcPr>
            <w:tcW w:w="1872" w:type="dxa"/>
          </w:tcPr>
          <w:p>
            <w:pPr/>
            <w:r>
              <w:t xml:space="preserve">F18</w:t>
            </w:r>
          </w:p>
        </w:tc>
        <w:tc>
          <w:tcPr>
            <w:tcW w:w="1872" w:type="dxa"/>
          </w:tcPr>
          <w:p>
            <w:pPr/>
            <w:r>
              <w:t xml:space="preserve">Medium</w:t>
            </w:r>
          </w:p>
        </w:tc>
        <w:tc>
          <w:tcPr>
            <w:tcW w:w="1872" w:type="dxa"/>
          </w:tcPr>
          <w:p>
            <w:pPr/>
            <w:r>
              <w:t xml:space="preserve">Section 8.3</w:t>
            </w:r>
          </w:p>
        </w:tc>
        <w:tc>
          <w:tcPr>
            <w:tcW w:w="1872" w:type="dxa"/>
          </w:tcPr>
          <w:p>
            <w:pPr/>
            <w:r>
              <w:t xml:space="preserve">The claim that TCS and Infosys are "comparatively less specialised" in engineering services has no support</w:t>
            </w:r>
          </w:p>
        </w:tc>
        <w:tc>
          <w:tcPr>
            <w:tcW w:w="1872" w:type="dxa"/>
          </w:tcPr>
          <w:p>
            <w:pPr/>
            <w:r>
              <w:t xml:space="preserve">Substantiate or remove</w:t>
            </w:r>
          </w:p>
        </w:tc>
      </w:tr>
      <w:tr>
        <w:tc>
          <w:tcPr>
            <w:tcW w:w="1872" w:type="dxa"/>
          </w:tcPr>
          <w:p>
            <w:pPr/>
            <w:r>
              <w:t xml:space="preserve">F19</w:t>
            </w:r>
          </w:p>
        </w:tc>
        <w:tc>
          <w:tcPr>
            <w:tcW w:w="1872" w:type="dxa"/>
          </w:tcPr>
          <w:p>
            <w:pPr/>
            <w:r>
              <w:t xml:space="preserve">Low</w:t>
            </w:r>
          </w:p>
        </w:tc>
        <w:tc>
          <w:tcPr>
            <w:tcW w:w="1872" w:type="dxa"/>
          </w:tcPr>
          <w:p>
            <w:pPr/>
            <w:r>
              <w:t xml:space="preserve">Section 8.2</w:t>
            </w:r>
          </w:p>
        </w:tc>
        <w:tc>
          <w:tcPr>
            <w:tcW w:w="1872" w:type="dxa"/>
          </w:tcPr>
          <w:p>
            <w:pPr/>
            <w:r>
              <w:t xml:space="preserve">Wording slip: client concentration is "a structural vulnerability ... rather than a unique strength". It presumably should read "unique weakness".</w:t>
            </w:r>
          </w:p>
        </w:tc>
        <w:tc>
          <w:tcPr>
            <w:tcW w:w="1872" w:type="dxa"/>
          </w:tcPr>
          <w:p>
            <w:pPr/>
            <w:r>
              <w:t xml:space="preserve">Edit</w:t>
            </w:r>
          </w:p>
        </w:tc>
      </w:tr>
      <w:tr>
        <w:tc>
          <w:tcPr>
            <w:tcW w:w="1872" w:type="dxa"/>
          </w:tcPr>
          <w:p>
            <w:pPr/>
            <w:r>
              <w:t xml:space="preserve">F20</w:t>
            </w:r>
          </w:p>
        </w:tc>
        <w:tc>
          <w:tcPr>
            <w:tcW w:w="1872" w:type="dxa"/>
          </w:tcPr>
          <w:p>
            <w:pPr/>
            <w:r>
              <w:t xml:space="preserve">Low</w:t>
            </w:r>
          </w:p>
        </w:tc>
        <w:tc>
          <w:tcPr>
            <w:tcW w:w="1872" w:type="dxa"/>
          </w:tcPr>
          <w:p>
            <w:pPr/>
            <w:r>
              <w:t xml:space="preserve">Files A and B</w:t>
            </w:r>
          </w:p>
        </w:tc>
        <w:tc>
          <w:tcPr>
            <w:tcW w:w="1872" w:type="dxa"/>
          </w:tcPr>
          <w:p>
            <w:pPr/>
            <w:r>
              <w:t xml:space="preserve">Two near-duplicate Word files, and Appendix A (internal prompt and response record) exists only in B. The appendix is an internal audit trail that should not go to external readers.</w:t>
            </w:r>
          </w:p>
        </w:tc>
        <w:tc>
          <w:tcPr>
            <w:tcW w:w="1872" w:type="dxa"/>
          </w:tcPr>
          <w:p>
            <w:pPr/>
            <w:r>
              <w:t xml:space="preserve">Pick the version of record and remove the appendix before sharing</w:t>
            </w:r>
          </w:p>
        </w:tc>
      </w:tr>
    </w:tbl>
    <w:p>
      <w:pPr>
        <w:pStyle w:val="Heading3"/>
      </w:pPr>
      <w:r>
        <w:t xml:space="preserve">6.2 Quantum computing article (file D)</w:t>
      </w:r>
    </w:p>
    <w:tbl>
      <w:tblPr>
        <w:tblStyle w:val="TableGrid"/>
        <w:tblW w:w="0" w:type="auto"/>
        <w:tblLayout w:type="fixed"/>
        <w:tblLook w:val="04A0" w:firstRow="1" w:lastRow="0" w:firstColumn="0" w:lastColumn="0" w:noHBand="0" w:noVBand="1"/>
      </w:tblPr>
      <w:tblGrid>
        <w:gridCol w:w="1872"/>
        <w:gridCol w:w="1872"/>
        <w:gridCol w:w="1872"/>
        <w:gridCol w:w="1872"/>
        <w:gridCol w:w="1872"/>
      </w:tblGrid>
      <w:tr>
        <w:trPr>
          <w:tblHeader/>
        </w:trPr>
        <w:tc>
          <w:tcPr>
            <w:tcW w:w="1872" w:type="dxa"/>
            <w:shd w:val="clear" w:color="auto" w:fill="F2F2F2"/>
          </w:tcPr>
          <w:p>
            <w:pPr/>
            <w:r>
              <w:t xml:space="preserve">ID</w:t>
            </w:r>
          </w:p>
        </w:tc>
        <w:tc>
          <w:tcPr>
            <w:tcW w:w="1872" w:type="dxa"/>
            <w:shd w:val="clear" w:color="auto" w:fill="F2F2F2"/>
          </w:tcPr>
          <w:p>
            <w:pPr/>
            <w:r>
              <w:t xml:space="preserve">Priority</w:t>
            </w:r>
          </w:p>
        </w:tc>
        <w:tc>
          <w:tcPr>
            <w:tcW w:w="1872" w:type="dxa"/>
            <w:shd w:val="clear" w:color="auto" w:fill="F2F2F2"/>
          </w:tcPr>
          <w:p>
            <w:pPr/>
            <w:r>
              <w:t xml:space="preserve">Where</w:t>
            </w:r>
          </w:p>
        </w:tc>
        <w:tc>
          <w:tcPr>
            <w:tcW w:w="1872" w:type="dxa"/>
            <w:shd w:val="clear" w:color="auto" w:fill="F2F2F2"/>
          </w:tcPr>
          <w:p>
            <w:pPr/>
            <w:r>
              <w:t xml:space="preserve">Issue</w:t>
            </w:r>
          </w:p>
        </w:tc>
        <w:tc>
          <w:tcPr>
            <w:tcW w:w="1872" w:type="dxa"/>
            <w:shd w:val="clear" w:color="auto" w:fill="F2F2F2"/>
          </w:tcPr>
          <w:p>
            <w:pPr/>
            <w:r>
              <w:t xml:space="preserve">Suggested action</w:t>
            </w:r>
          </w:p>
        </w:tc>
      </w:tr>
      <w:tr>
        <w:tc>
          <w:tcPr>
            <w:tcW w:w="1872" w:type="dxa"/>
          </w:tcPr>
          <w:p>
            <w:pPr/>
            <w:r>
              <w:t xml:space="preserve">F21</w:t>
            </w:r>
          </w:p>
        </w:tc>
        <w:tc>
          <w:tcPr>
            <w:tcW w:w="1872" w:type="dxa"/>
          </w:tcPr>
          <w:p>
            <w:pPr/>
            <w:r>
              <w:t xml:space="preserve">High</w:t>
            </w:r>
          </w:p>
        </w:tc>
        <w:tc>
          <w:tcPr>
            <w:tcW w:w="1872" w:type="dxa"/>
          </w:tcPr>
          <w:p>
            <w:pPr/>
            <w:r>
              <w:t xml:space="preserve">Challenges vs Recent Developments</w:t>
            </w:r>
          </w:p>
        </w:tc>
        <w:tc>
          <w:tcPr>
            <w:tcW w:w="1872" w:type="dxa"/>
          </w:tcPr>
          <w:p>
            <w:pPr/>
            <w:r>
              <w:t xml:space="preserve">The article says today's most advanced machines have "hundreds of physical qubits" in one section and "exceeding a thousand physical qubits" in another</w:t>
            </w:r>
          </w:p>
        </w:tc>
        <w:tc>
          <w:tcPr>
            <w:tcW w:w="1872" w:type="dxa"/>
          </w:tcPr>
          <w:p>
            <w:pPr/>
            <w:r>
              <w:t xml:space="preserve">Reconcile, ideally by naming the specific systems</w:t>
            </w:r>
          </w:p>
        </w:tc>
      </w:tr>
      <w:tr>
        <w:tc>
          <w:tcPr>
            <w:tcW w:w="1872" w:type="dxa"/>
          </w:tcPr>
          <w:p>
            <w:pPr/>
            <w:r>
              <w:t xml:space="preserve">F22</w:t>
            </w:r>
          </w:p>
        </w:tc>
        <w:tc>
          <w:tcPr>
            <w:tcW w:w="1872" w:type="dxa"/>
          </w:tcPr>
          <w:p>
            <w:pPr/>
            <w:r>
              <w:t xml:space="preserve">Medium</w:t>
            </w:r>
          </w:p>
        </w:tc>
        <w:tc>
          <w:tcPr>
            <w:tcW w:w="1872" w:type="dxa"/>
          </w:tcPr>
          <w:p>
            <w:pPr/>
            <w:r>
              <w:t xml:space="preserve">Throughout</w:t>
            </w:r>
          </w:p>
        </w:tc>
        <w:tc>
          <w:tcPr>
            <w:tcW w:w="1872" w:type="dxa"/>
          </w:tcPr>
          <w:p>
            <w:pPr/>
            <w:r>
              <w:t xml:space="preserve">No citations or dates. Claims such as "a decade or more away", the finalized post-quantum cryptography standards, "the past two years" and multibillion-dollar national programmes are unsourced, and the time references will go stale.</w:t>
            </w:r>
          </w:p>
        </w:tc>
        <w:tc>
          <w:tcPr>
            <w:tcW w:w="1872" w:type="dxa"/>
          </w:tcPr>
          <w:p>
            <w:pPr/>
            <w:r>
              <w:t xml:space="preserve">Add sources and absolute dates; fact-check before publishing</w:t>
            </w:r>
          </w:p>
        </w:tc>
      </w:tr>
    </w:tbl>
    <w:p>
      <w:pPr/>
      <w:r>
        <w:t xml:space="preserve">Two further notes on the quantum article. First, keyword usage is heavy, and the phrase is forced into the closing sentence of nearly every section, which may read as keyword-stuffing despite the 0.98% density. Second, I did not independently count the words, so the stated 1,020 should be confirmed.</w:t>
      </w:r>
    </w:p>
    <w:p>
      <w:pPr>
        <w:pStyle w:val="Heading2"/>
      </w:pPr>
      <w:r>
        <w:t xml:space="preserve">7. Cross-File Consistency Check</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Check</w:t>
            </w:r>
          </w:p>
        </w:tc>
        <w:tc>
          <w:tcPr>
            <w:tcW w:w="4680" w:type="dxa"/>
            <w:shd w:val="clear" w:color="auto" w:fill="F2F2F2"/>
          </w:tcPr>
          <w:p>
            <w:pPr/>
            <w:r>
              <w:t xml:space="preserve">Result</w:t>
            </w:r>
          </w:p>
        </w:tc>
      </w:tr>
      <w:tr>
        <w:tc>
          <w:tcPr>
            <w:tcW w:w="4680" w:type="dxa"/>
          </w:tcPr>
          <w:p>
            <w:pPr/>
            <w:r>
              <w:t xml:space="preserve">Segment revenues sum to total (₹86,438 + ₹18,960 + ₹12,049 − ₹392 inter-segment = ₹117,055 Cr)</w:t>
            </w:r>
          </w:p>
        </w:tc>
        <w:tc>
          <w:tcPr>
            <w:tcW w:w="4680" w:type="dxa"/>
          </w:tcPr>
          <w:p>
            <w:pPr/>
            <w:r>
              <w:t xml:space="preserve">Reconciles</w:t>
            </w:r>
          </w:p>
        </w:tc>
      </w:tr>
      <w:tr>
        <w:tc>
          <w:tcPr>
            <w:tcW w:w="4680" w:type="dxa"/>
          </w:tcPr>
          <w:p>
            <w:pPr/>
            <w:r>
              <w:t xml:space="preserve">Services revenue equals ITBS plus ERS (₹105,398 Cr)</w:t>
            </w:r>
          </w:p>
        </w:tc>
        <w:tc>
          <w:tcPr>
            <w:tcW w:w="4680" w:type="dxa"/>
          </w:tcPr>
          <w:p>
            <w:pPr/>
            <w:r>
              <w:t xml:space="preserve">Reconciles</w:t>
            </w:r>
          </w:p>
        </w:tc>
      </w:tr>
      <w:tr>
        <w:tc>
          <w:tcPr>
            <w:tcW w:w="4680" w:type="dxa"/>
          </w:tcPr>
          <w:p>
            <w:pPr/>
            <w:r>
              <w:t xml:space="preserve">Geographic shares sum to 100%</w:t>
            </w:r>
          </w:p>
        </w:tc>
        <w:tc>
          <w:tcPr>
            <w:tcW w:w="4680" w:type="dxa"/>
          </w:tcPr>
          <w:p>
            <w:pPr/>
            <w:r>
              <w:t xml:space="preserve">Reconciles</w:t>
            </w:r>
          </w:p>
        </w:tc>
      </w:tr>
      <w:tr>
        <w:tc>
          <w:tcPr>
            <w:tcW w:w="4680" w:type="dxa"/>
          </w:tcPr>
          <w:p>
            <w:pPr/>
            <w:r>
              <w:t xml:space="preserve">EBIT margin, FCF ratio and payout ratio recompute</w:t>
            </w:r>
          </w:p>
        </w:tc>
        <w:tc>
          <w:tcPr>
            <w:tcW w:w="4680" w:type="dxa"/>
          </w:tcPr>
          <w:p>
            <w:pPr/>
            <w:r>
              <w:t xml:space="preserve">Reconcile</w:t>
            </w:r>
          </w:p>
        </w:tc>
      </w:tr>
      <w:tr>
        <w:tc>
          <w:tcPr>
            <w:tcW w:w="4680" w:type="dxa"/>
          </w:tcPr>
          <w:p>
            <w:pPr/>
            <w:r>
              <w:t xml:space="preserve">TCS margin gap of "about 600 bps" and "over 2x" revenue</w:t>
            </w:r>
          </w:p>
        </w:tc>
        <w:tc>
          <w:tcPr>
            <w:tcW w:w="4680" w:type="dxa"/>
          </w:tcPr>
          <w:p>
            <w:pPr/>
            <w:r>
              <w:t xml:space="preserve">Correct (600 bps; 2.2x)</w:t>
            </w:r>
          </w:p>
        </w:tc>
      </w:tr>
      <w:tr>
        <w:tc>
          <w:tcPr>
            <w:tcW w:w="4680" w:type="dxa"/>
          </w:tcPr>
          <w:p>
            <w:pPr/>
            <w:r>
              <w:t xml:space="preserve">USD/INR implied rate across HCLTech, TCS, Tech Mahindra</w:t>
            </w:r>
          </w:p>
        </w:tc>
        <w:tc>
          <w:tcPr>
            <w:tcW w:w="4680" w:type="dxa"/>
          </w:tcPr>
          <w:p>
            <w:pPr/>
            <w:r>
              <w:t xml:space="preserve">Consistent at about ₹84.5-84.8</w:t>
            </w:r>
          </w:p>
        </w:tc>
      </w:tr>
      <w:tr>
        <w:tc>
          <w:tcPr>
            <w:tcW w:w="4680" w:type="dxa"/>
          </w:tcPr>
          <w:p>
            <w:pPr/>
            <w:r>
              <w:t xml:space="preserve">Word report vs deck: headline numbers</w:t>
            </w:r>
          </w:p>
        </w:tc>
        <w:tc>
          <w:tcPr>
            <w:tcW w:w="4680" w:type="dxa"/>
          </w:tcPr>
          <w:p>
            <w:pPr/>
            <w:r>
              <w:t xml:space="preserve">Match</w:t>
            </w:r>
          </w:p>
        </w:tc>
      </w:tr>
      <w:tr>
        <w:tc>
          <w:tcPr>
            <w:tcW w:w="4680" w:type="dxa"/>
          </w:tcPr>
          <w:p>
            <w:pPr/>
            <w:r>
              <w:t xml:space="preserve">Word report vs deck: qualitative claims</w:t>
            </w:r>
          </w:p>
        </w:tc>
        <w:tc>
          <w:tcPr>
            <w:tcW w:w="4680" w:type="dxa"/>
          </w:tcPr>
          <w:p>
            <w:pPr/>
            <w:r>
              <w:t xml:space="preserve">Several differences (F9, F15, F16), and two deck items (the "four service lines" on Slide 3 and the "Core: US, UK, Europe" definition on Slide 6) have no counterpart in the report</w:t>
            </w:r>
          </w:p>
        </w:tc>
      </w:tr>
      <w:tr>
        <w:tc>
          <w:tcPr>
            <w:tcW w:w="4680" w:type="dxa"/>
          </w:tcPr>
          <w:p>
            <w:pPr/>
            <w:r>
              <w:t xml:space="preserve">Version A vs version B</w:t>
            </w:r>
          </w:p>
        </w:tc>
        <w:tc>
          <w:tcPr>
            <w:tcW w:w="4680" w:type="dxa"/>
          </w:tcPr>
          <w:p>
            <w:pPr/>
            <w:r>
              <w:t xml:space="preserve">Body appears identical; B adds Appendix A</w:t>
            </w:r>
          </w:p>
        </w:tc>
      </w:tr>
    </w:tbl>
    <w:p>
      <w:pPr>
        <w:pStyle w:val="Heading2"/>
      </w:pPr>
      <w:r>
        <w:t xml:space="preserve">8. Recommended Next Steps</w:t>
      </w:r>
    </w:p>
    <w:p>
      <w:pPr>
        <w:pStyle w:val="ListParagraph"/>
        <w:numPr>
          <w:ilvl w:val="0"/>
          <w:numId w:val="6"/>
        </w:numPr>
      </w:pPr>
      <w:r>
        <w:rPr>
          <w:b/>
        </w:rPr>
        <w:t xml:space="preserve">Confirm scope:</w:t>
      </w:r>
      <w:r>
        <w:t xml:space="preserve"> was the quantum article uploaded by mistake? If so, set it aside.</w:t>
      </w:r>
    </w:p>
    <w:p>
      <w:pPr>
        <w:pStyle w:val="ListParagraph"/>
        <w:numPr>
          <w:ilvl w:val="0"/>
          <w:numId w:val="6"/>
        </w:numPr>
      </w:pPr>
      <w:r>
        <w:rPr>
          <w:b/>
        </w:rPr>
        <w:t xml:space="preserve">Decide on freshness:</w:t>
      </w:r>
      <w:r>
        <w:t xml:space="preserve"> refresh to FY2026 data, or relabel everything as an FY2025 snapshot.</w:t>
      </w:r>
    </w:p>
    <w:p>
      <w:pPr>
        <w:pStyle w:val="ListParagraph"/>
        <w:numPr>
          <w:ilvl w:val="0"/>
          <w:numId w:val="6"/>
        </w:numPr>
      </w:pPr>
      <w:r>
        <w:rPr>
          <w:b/>
        </w:rPr>
        <w:t xml:space="preserve">Resolve the nine high-priority flags</w:t>
      </w:r>
      <w:r>
        <w:t xml:space="preserve"> (F1-F9, plus F21 for the article) before anything circulates.</w:t>
      </w:r>
    </w:p>
    <w:p>
      <w:pPr>
        <w:pStyle w:val="ListParagraph"/>
        <w:numPr>
          <w:ilvl w:val="0"/>
          <w:numId w:val="6"/>
        </w:numPr>
      </w:pPr>
      <w:r>
        <w:rPr>
          <w:b/>
        </w:rPr>
        <w:t xml:space="preserve">Choose the version of record</w:t>
      </w:r>
      <w:r>
        <w:t xml:space="preserve"> for the Word report, strip Appendix A from any external copy, and rebuild the deck from the corrected report.</w:t>
      </w:r>
    </w:p>
    <w:p>
      <w:pPr>
        <w:pStyle w:val="ListParagraph"/>
        <w:numPr>
          <w:ilvl w:val="0"/>
          <w:numId w:val="6"/>
        </w:numPr>
      </w:pPr>
      <w:r>
        <w:rPr>
          <w:b/>
        </w:rPr>
        <w:t xml:space="preserve">Add document control:</w:t>
      </w:r>
      <w:r>
        <w:t xml:space="preserve"> author, date, version, and reviewer.</w:t>
      </w:r>
    </w:p>
    <w:p>
      <w:pPr>
        <w:pStyle w:val="ListParagraph"/>
        <w:numPr>
          <w:ilvl w:val="0"/>
          <w:numId w:val="6"/>
        </w:numPr>
      </w:pPr>
      <w:r>
        <w:rPr>
          <w:b/>
        </w:rPr>
        <w:t xml:space="preserve">Add an actions section</w:t>
      </w:r>
      <w:r>
        <w:t xml:space="preserve"> to the HCLTech report if the audience is expected to decide something, with thresholds and owners for the four monitoring metrics.</w:t>
      </w:r>
    </w:p>
    <w:p>
      <w:pPr>
        <w:pStyle w:val="ListParagraph"/>
        <w:numPr>
          <w:ilvl w:val="0"/>
          <w:numId w:val="6"/>
        </w:numPr>
      </w:pPr>
      <w:r>
        <w:rPr>
          <w:b/>
        </w:rPr>
        <w:t xml:space="preserve">Spot-check against primary sources:</w:t>
      </w:r>
      <w:r>
        <w:t xml:space="preserve"> a reviewer with the annual report and peer filings should verify the figures I could only check for internal consistency, especially deal TCV, top-20 client share, attrition and the market-size estimates.</w:t>
      </w:r>
    </w:p>
    <w:p>
      <w:pPr>
        <w:pStyle w:val="Heading2"/>
      </w:pPr>
      <w:r>
        <w:t xml:space="preserve">9. Limits of This Review</w:t>
      </w:r>
    </w:p>
    <w:p>
      <w:pPr>
        <w:pStyle w:val="ListParagraph"/>
        <w:numPr>
          <w:ilvl w:val="0"/>
          <w:numId w:val="7"/>
        </w:numPr>
      </w:pPr>
      <w:r>
        <w:t xml:space="preserve">I read the text of all four files, but I could not read chart data embedded in the deck.</w:t>
      </w:r>
    </w:p>
    <w:p>
      <w:pPr>
        <w:pStyle w:val="ListParagraph"/>
        <w:numPr>
          <w:ilvl w:val="0"/>
          <w:numId w:val="7"/>
        </w:numPr>
      </w:pPr>
      <w:r>
        <w:t xml:space="preserve">I did not verify any figure against external sources, so "reconciles" means internally consistent, not true.</w:t>
      </w:r>
    </w:p>
    <w:p>
      <w:pPr>
        <w:pStyle w:val="ListParagraph"/>
        <w:numPr>
          <w:ilvl w:val="0"/>
          <w:numId w:val="7"/>
        </w:numPr>
      </w:pPr>
      <w:r>
        <w:t xml:space="preserve">My comparison of the two Word versions was by reading, not by a tool-based diff.</w:t>
      </w:r>
    </w:p>
    <w:p>
      <w:pPr>
        <w:pStyle w:val="ListParagraph"/>
        <w:numPr>
          <w:ilvl w:val="0"/>
          <w:numId w:val="7"/>
        </w:numPr>
      </w:pPr>
      <w:r>
        <w:t xml:space="preserve">Priority ratings are my judgement. Adjust them to how the documents will be used.</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 w:numId="6">
    <w:abstractNumId w:val="1"/>
    <w:lvlOverride w:ilvl="0">
      <w:startOverride w:val="1"/>
    </w:lvlOverride>
  </w:num>
  <w:num w:numId="7">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Document Review Key Fields, Decisions, Gaps and Human-Review Flags</dc:title>
  <dc:description>Claude Docs node/d829cfa1-64c6@1 docx-w6</dc:description>
  <cp:revision>1</cp:revision>
</cp:coreProperties>
</file>