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p>
    <w:p>
      <w:pPr>
        <w:jc w:val="center"/>
      </w:pPr>
      <w:r>
        <w:rPr>
          <w:rFonts w:ascii="Calibri" w:cs="Calibri" w:eastAsia="Calibri" w:hAnsi="Calibri"/>
          <w:b/>
          <w:bCs/>
          <w:color w:val="1F3864"/>
          <w:sz w:val="64"/>
          <w:szCs w:val="64"/>
        </w:rPr>
        <w:t xml:space="preserve">HCLTECH</w:t>
      </w:r>
    </w:p>
    <w:p>
      <w:pPr>
        <w:spacing w:after="100" w:before="200"/>
        <w:jc w:val="center"/>
      </w:pPr>
      <w:r>
        <w:rPr>
          <w:rFonts w:ascii="Calibri" w:cs="Calibri" w:eastAsia="Calibri" w:hAnsi="Calibri"/>
          <w:b/>
          <w:bCs/>
          <w:color w:val="2E74B5"/>
          <w:sz w:val="34"/>
          <w:szCs w:val="34"/>
        </w:rPr>
        <w:t xml:space="preserve">Strategic Performance &amp; Competitor Analysis</w:t>
      </w:r>
    </w:p>
    <w:p>
      <w:pPr>
        <w:spacing w:after="800"/>
        <w:jc w:val="center"/>
      </w:pPr>
      <w:r>
        <w:rPr>
          <w:rFonts w:ascii="Calibri" w:cs="Calibri" w:eastAsia="Calibri" w:hAnsi="Calibri"/>
          <w:i/>
          <w:iCs/>
          <w:color w:val="595959"/>
          <w:sz w:val="22"/>
          <w:szCs w:val="22"/>
        </w:rPr>
        <w:t xml:space="preserve">An Assessment of Strategy, Financial Performance and Competitive Position — Based on the Annual Report FY2024-25</w:t>
      </w:r>
    </w:p>
    <w:p>
      <w:pPr>
        <w:spacing w:before="1400"/>
        <w:jc w:val="center"/>
      </w:pPr>
      <w:r>
        <w:rPr>
          <w:rFonts w:ascii="Calibri" w:cs="Calibri" w:eastAsia="Calibri" w:hAnsi="Calibri"/>
          <w:color w:val="595959"/>
          <w:sz w:val="19"/>
          <w:szCs w:val="19"/>
        </w:rPr>
        <w:t xml:space="preserve">Prepared for internal strategic review</w:t>
      </w:r>
    </w:p>
    <w:p>
      <w:pPr>
        <w:spacing w:before="100"/>
        <w:jc w:val="center"/>
      </w:pPr>
      <w:r>
        <w:rPr>
          <w:rFonts w:ascii="Calibri" w:cs="Calibri" w:eastAsia="Calibri" w:hAnsi="Calibri"/>
          <w:color w:val="595959"/>
          <w:sz w:val="19"/>
          <w:szCs w:val="19"/>
        </w:rPr>
        <w:t xml:space="preserve">Peer set: TCS · Infosys · Wipro · Tech Mahindra · LTIMindtree · Cognizant · Accenture</w:t>
      </w:r>
    </w:p>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1. Executive Summary</w:t>
      </w:r>
    </w:p>
    <w:p>
      <w:pPr>
        <w:spacing w:after="160" w:line="276"/>
        <w:jc w:val="both"/>
      </w:pPr>
      <w:r>
        <w:rPr>
          <w:rFonts w:ascii="Calibri" w:cs="Calibri" w:eastAsia="Calibri" w:hAnsi="Calibri"/>
          <w:color w:val="262626"/>
          <w:sz w:val="21"/>
          <w:szCs w:val="21"/>
        </w:rPr>
        <w:t xml:space="preserve">HCLTech closed FY2024-25 (year ended 31 March 2025) with consolidated revenue of ₹117,055 crore (US$13.8 billion), up 6.5% year-on-year in rupee terms and 4.7% in constant currency (CC). Profit after tax rose 10.8% to ₹17,390 crore, and EBIT margin expanded 7 basis points to 18.3%. Services revenue crossed ₹100,000 crore for the first time, and HCLSoftware sustained annual recurring revenue (ARR) above US$1 billion. Management characterises FY25 as the company's second consecutive year of "best-in-class" growth relative to comparable Indian IT services peers.</w:t>
      </w:r>
    </w:p>
    <w:p>
      <w:pPr>
        <w:spacing w:after="160" w:line="276"/>
        <w:jc w:val="both"/>
      </w:pPr>
      <w:r>
        <w:rPr>
          <w:rFonts w:ascii="Calibri" w:cs="Calibri" w:eastAsia="Calibri" w:hAnsi="Calibri"/>
          <w:color w:val="262626"/>
          <w:sz w:val="21"/>
          <w:szCs w:val="21"/>
        </w:rPr>
        <w:t xml:space="preserve">This report examines HCLTech's strategic posture, financial performance and business-segment execution as disclosed in the FY2024-25 Annual Report, and benchmarks the company against its principal direct competitors in the Indian IT services industry — Tata Consultancy Services (TCS), Infosys, Wipro, Tech Mahindra and LTIMindtree — as well as indirect and aspirational global competitors, Cognizant and Accenture. The analysis follows a structured competitive-analysis framework: competitor identification, strategy and product comparison, financial benchmarking, and a consolidated strengths-weaknesses-opportunities-threats (SWOT) assessment, adapted from standard competitive-analysis methodology (Semrush, 2026) to the context of a publicly listed, diversified technology services enterprise.</w:t>
      </w:r>
    </w:p>
    <w:p>
      <w:pPr>
        <w:spacing w:after="160" w:line="276"/>
        <w:jc w:val="both"/>
      </w:pPr>
      <w:r>
        <w:rPr>
          <w:rFonts w:ascii="Calibri" w:cs="Calibri" w:eastAsia="Calibri" w:hAnsi="Calibri"/>
          <w:b/>
          <w:bCs/>
          <w:color w:val="262626"/>
          <w:sz w:val="21"/>
          <w:szCs w:val="21"/>
        </w:rPr>
        <w:t xml:space="preserve">Key findings:</w:t>
      </w:r>
    </w:p>
    <w:p>
      <w:pPr>
        <w:pStyle w:val="ListParagraph"/>
        <w:numPr>
          <w:ilvl w:val="0"/>
          <w:numId w:val="2"/>
        </w:numPr>
        <w:spacing w:after="100" w:line="264"/>
      </w:pPr>
      <w:r>
        <w:rPr>
          <w:rFonts w:ascii="Calibri" w:cs="Calibri" w:eastAsia="Calibri" w:hAnsi="Calibri"/>
          <w:b/>
          <w:bCs/>
          <w:color w:val="262626"/>
          <w:sz w:val="21"/>
          <w:szCs w:val="21"/>
        </w:rPr>
        <w:t xml:space="preserve">Scale and growth:</w:t>
      </w:r>
      <w:r>
        <w:rPr>
          <w:rFonts w:ascii="Calibri" w:cs="Calibri" w:eastAsia="Calibri" w:hAnsi="Calibri"/>
          <w:color w:val="262626"/>
          <w:sz w:val="21"/>
          <w:szCs w:val="21"/>
        </w:rPr>
        <w:t xml:space="preserve"> HCLTech is the third-largest Indian IT services company by revenue behind TCS and Infosys, but it is the fastest-growing among the top-five Indian IT majors for a third consecutive year, and it carries the highest EBIT margin among Tech Mahindra and LTIMindtree, though it still trails TCS on absolute profitability and margin.</w:t>
      </w:r>
    </w:p>
    <w:p>
      <w:pPr>
        <w:pStyle w:val="ListParagraph"/>
        <w:numPr>
          <w:ilvl w:val="0"/>
          <w:numId w:val="2"/>
        </w:numPr>
        <w:spacing w:after="100" w:line="264"/>
      </w:pPr>
      <w:r>
        <w:rPr>
          <w:rFonts w:ascii="Calibri" w:cs="Calibri" w:eastAsia="Calibri" w:hAnsi="Calibri"/>
          <w:b/>
          <w:bCs/>
          <w:color w:val="262626"/>
          <w:sz w:val="21"/>
          <w:szCs w:val="21"/>
        </w:rPr>
        <w:t xml:space="preserve">Portfolio diversification:</w:t>
      </w:r>
      <w:r>
        <w:rPr>
          <w:rFonts w:ascii="Calibri" w:cs="Calibri" w:eastAsia="Calibri" w:hAnsi="Calibri"/>
          <w:color w:val="262626"/>
          <w:sz w:val="21"/>
          <w:szCs w:val="21"/>
        </w:rPr>
        <w:t xml:space="preserve"> The company's three-segment model (IT and Business Services, Engineering and R&amp;D Services, HCLSoftware) gives it a differentiated, annuity-like software revenue stream that peers other than Wipro and Infosys do not replicate at comparable scale.</w:t>
      </w:r>
    </w:p>
    <w:p>
      <w:pPr>
        <w:pStyle w:val="ListParagraph"/>
        <w:numPr>
          <w:ilvl w:val="0"/>
          <w:numId w:val="2"/>
        </w:numPr>
        <w:spacing w:after="100" w:line="264"/>
      </w:pPr>
      <w:r>
        <w:rPr>
          <w:rFonts w:ascii="Calibri" w:cs="Calibri" w:eastAsia="Calibri" w:hAnsi="Calibri"/>
          <w:b/>
          <w:bCs/>
          <w:color w:val="262626"/>
          <w:sz w:val="21"/>
          <w:szCs w:val="21"/>
        </w:rPr>
        <w:t xml:space="preserve">Geographic and client concentration:</w:t>
      </w:r>
      <w:r>
        <w:rPr>
          <w:rFonts w:ascii="Calibri" w:cs="Calibri" w:eastAsia="Calibri" w:hAnsi="Calibri"/>
          <w:color w:val="262626"/>
          <w:sz w:val="21"/>
          <w:szCs w:val="21"/>
        </w:rPr>
        <w:t xml:space="preserve"> HCLTech is materially more dependent on the US and Europe (approximately 85% of revenue combined) than some diversified peers, and its client-concentration profile (top 20 clients ≈ 30% of revenue) mirrors an industry-wide structural risk rather than a company-specific weakness.</w:t>
      </w:r>
    </w:p>
    <w:p>
      <w:pPr>
        <w:pStyle w:val="ListParagraph"/>
        <w:numPr>
          <w:ilvl w:val="0"/>
          <w:numId w:val="2"/>
        </w:numPr>
        <w:spacing w:after="100" w:line="264"/>
      </w:pPr>
      <w:r>
        <w:rPr>
          <w:rFonts w:ascii="Calibri" w:cs="Calibri" w:eastAsia="Calibri" w:hAnsi="Calibri"/>
          <w:b/>
          <w:bCs/>
          <w:color w:val="262626"/>
          <w:sz w:val="21"/>
          <w:szCs w:val="21"/>
        </w:rPr>
        <w:t xml:space="preserve">Competitive and AI disruption risk:</w:t>
      </w:r>
      <w:r>
        <w:rPr>
          <w:rFonts w:ascii="Calibri" w:cs="Calibri" w:eastAsia="Calibri" w:hAnsi="Calibri"/>
          <w:color w:val="262626"/>
          <w:sz w:val="21"/>
          <w:szCs w:val="21"/>
        </w:rPr>
        <w:t xml:space="preserve"> Management explicitly flags fierce competition from global majors, management consultancies and Global Capability Centers (GCCs) as a principal strategic risk, alongside the disruptive potential of GenAI on the traditional linear, headcount-led services model.</w:t>
      </w:r>
    </w:p>
    <w:p>
      <w:pPr>
        <w:pStyle w:val="ListParagraph"/>
        <w:numPr>
          <w:ilvl w:val="0"/>
          <w:numId w:val="2"/>
        </w:numPr>
        <w:spacing w:after="100" w:line="264"/>
      </w:pPr>
      <w:r>
        <w:rPr>
          <w:rFonts w:ascii="Calibri" w:cs="Calibri" w:eastAsia="Calibri" w:hAnsi="Calibri"/>
          <w:b/>
          <w:bCs/>
          <w:color w:val="262626"/>
          <w:sz w:val="21"/>
          <w:szCs w:val="21"/>
        </w:rPr>
        <w:t xml:space="preserve">Strategic response:</w:t>
      </w:r>
      <w:r>
        <w:rPr>
          <w:rFonts w:ascii="Calibri" w:cs="Calibri" w:eastAsia="Calibri" w:hAnsi="Calibri"/>
          <w:color w:val="262626"/>
          <w:sz w:val="21"/>
          <w:szCs w:val="21"/>
        </w:rPr>
        <w:t xml:space="preserve"> HCLTech's Project Ascend (cost and efficiency transformation) and its 12 near-term growth vectors indicate a proactive strategic response to margin pressure and the AI-led shift toward non-linear, outcome-based revenue models.</w:t>
      </w:r>
    </w:p>
    <w:p>
      <w:pPr>
        <w:spacing w:after="160" w:line="276"/>
        <w:jc w:val="both"/>
      </w:pPr>
      <w:r>
        <w:rPr>
          <w:rFonts w:ascii="Calibri" w:cs="Calibri" w:eastAsia="Calibri" w:hAnsi="Calibri"/>
          <w:color w:val="262626"/>
          <w:sz w:val="21"/>
          <w:szCs w:val="21"/>
        </w:rPr>
        <w:t xml:space="preserve">Overall, HCLTech is well positioned within a highly competitive, consolidating Indian IT services industry, with genuine differentiation in engineering services and enterprise software, but it faces the same macroeconomic, pricing and AI-disruption pressures as its peer group, and its lower operating margin relative to TCS remains its most persistent competitive gap.</w:t>
      </w:r>
    </w:p>
    <w:p>
      <w:pPr>
        <w:pStyle w:val="Heading1"/>
        <w:pBdr>
          <w:bottom w:val="single" w:color="1F3864" w:sz="8" w:space="4"/>
        </w:pBdr>
        <w:spacing w:after="200" w:before="400"/>
      </w:pPr>
      <w:r>
        <w:rPr>
          <w:rFonts w:ascii="Calibri" w:cs="Calibri" w:eastAsia="Calibri" w:hAnsi="Calibri"/>
          <w:b/>
          <w:bCs/>
          <w:color w:val="1F3864"/>
          <w:sz w:val="30"/>
          <w:szCs w:val="30"/>
        </w:rPr>
        <w:t xml:space="preserve">2. Company Overview</w:t>
      </w:r>
    </w:p>
    <w:p>
      <w:pPr>
        <w:spacing w:after="160" w:line="276"/>
        <w:jc w:val="both"/>
      </w:pPr>
      <w:r>
        <w:rPr>
          <w:rFonts w:ascii="Calibri" w:cs="Calibri" w:eastAsia="Calibri" w:hAnsi="Calibri"/>
          <w:color w:val="262626"/>
          <w:sz w:val="21"/>
          <w:szCs w:val="21"/>
        </w:rPr>
        <w:t xml:space="preserve">HCLTech is a global technology company headquartered in Noida, India, operating across 60 countries with a workforce of 223,420 employees as of 31 March 2025. The company positions itself as a full-stack technology partner underpinned by an engineering heritage, delivering services and products across three reportable segments: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50"/>
      </w:tblGrid>
      <w:tr>
        <w:trPr>
          <w:tblHeader/>
        </w:trPr>
        <w:tc>
          <w:tcPr>
            <w:tcW w:type="dxa" w:w="240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Segment</w:t>
            </w:r>
          </w:p>
        </w:tc>
        <w:tc>
          <w:tcPr>
            <w:tcW w:type="dxa" w:w="380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Description</w:t>
            </w:r>
          </w:p>
        </w:tc>
        <w:tc>
          <w:tcPr>
            <w:tcW w:type="dxa" w:w="315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FY25 Revenue / Share</w:t>
            </w:r>
          </w:p>
        </w:tc>
      </w:tr>
      <w:tr>
        <w:tc>
          <w:tcPr>
            <w:tcW w:type="dxa" w:w="24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IT and Business Services (ITBS)</w:t>
            </w:r>
          </w:p>
        </w:tc>
        <w:tc>
          <w:tcPr>
            <w:tcW w:type="dxa" w:w="38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Digital transformation across applications, infrastructure, cloud, AI and digital process operations</w:t>
            </w:r>
          </w:p>
        </w:tc>
        <w:tc>
          <w:tcPr>
            <w:tcW w:type="dxa" w:w="31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₹86,438 Cr · 73.8% of revenue · EBIT margin 17.1%</w:t>
            </w:r>
          </w:p>
        </w:tc>
      </w:tr>
      <w:tr>
        <w:tc>
          <w:tcPr>
            <w:tcW w:type="dxa" w:w="240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Engineering and R&amp;D Services (ERS)</w:t>
            </w:r>
          </w:p>
        </w:tc>
        <w:tc>
          <w:tcPr>
            <w:tcW w:type="dxa" w:w="380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Product and digital engineering for 100+ R&amp;D-intensive organisations; acquired HPE's Communications Technology Group assets in FY25</w:t>
            </w:r>
          </w:p>
        </w:tc>
        <w:tc>
          <w:tcPr>
            <w:tcW w:type="dxa" w:w="31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₹18,960 Cr · EBIT margin 18.0% · +5.5% YoY (CC)</w:t>
            </w:r>
          </w:p>
        </w:tc>
      </w:tr>
      <w:tr>
        <w:tc>
          <w:tcPr>
            <w:tcW w:type="dxa" w:w="24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HCLSoftware</w:t>
            </w:r>
          </w:p>
        </w:tc>
        <w:tc>
          <w:tcPr>
            <w:tcW w:type="dxa" w:w="38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Asia's largest enterprise software business; portfolio spans Total Experience, Business Applications, Data &amp; Analytics, Security and more</w:t>
            </w:r>
          </w:p>
        </w:tc>
        <w:tc>
          <w:tcPr>
            <w:tcW w:type="dxa" w:w="31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₹12,049 Cr · EBIT margin 26.6% · ARR &gt; US$1.03B</w:t>
            </w:r>
          </w:p>
        </w:tc>
      </w:tr>
    </w:tbl>
    <w:p>
      <w:pPr>
        <w:spacing w:after="200" w:before="80"/>
      </w:pPr>
      <w:r>
        <w:rPr>
          <w:rFonts w:ascii="Calibri" w:cs="Calibri" w:eastAsia="Calibri" w:hAnsi="Calibri"/>
          <w:i/>
          <w:iCs/>
          <w:color w:val="595959"/>
          <w:sz w:val="17"/>
          <w:szCs w:val="17"/>
        </w:rPr>
        <w:t xml:space="preserve">Source: HCLTech Annual Report 2024-25, Management Discussion and Analysis. Segment revenue includes ₹392 crore of inter-segment revenue.</w:t>
      </w:r>
    </w:p>
    <w:p>
      <w:pPr>
        <w:pStyle w:val="Heading2"/>
        <w:spacing w:after="150" w:before="300"/>
      </w:pPr>
      <w:r>
        <w:rPr>
          <w:rFonts w:ascii="Calibri" w:cs="Calibri" w:eastAsia="Calibri" w:hAnsi="Calibri"/>
          <w:b/>
          <w:bCs/>
          <w:color w:val="2E74B5"/>
          <w:sz w:val="25"/>
          <w:szCs w:val="25"/>
        </w:rPr>
        <w:t xml:space="preserve">2.1 Geographic Revenue Mix</w:t>
      </w:r>
    </w:p>
    <w:p>
      <w:pPr>
        <w:spacing w:after="160" w:line="276"/>
        <w:jc w:val="both"/>
      </w:pPr>
      <w:r>
        <w:rPr>
          <w:rFonts w:ascii="Calibri" w:cs="Calibri" w:eastAsia="Calibri" w:hAnsi="Calibri"/>
          <w:color w:val="262626"/>
          <w:sz w:val="21"/>
          <w:szCs w:val="21"/>
        </w:rPr>
        <w:t xml:space="preserve">HCLTech's revenue remains heavily concentrated in mature Western markets. The United States accounted for 58.1% of FY25 revenue (₹67,987 crore, up 7.2%), and Europe for 26.7% (₹31,240 crore, up 6.7%). India contributed only 3.1%, and the Rest of World 12.1%. Both the US and Europe grew 5.2% in constant currency during the year, indicating broadly balanced growth across the company's two dominant markets.</w:t>
      </w:r>
    </w:p>
    <w:p>
      <w:pPr>
        <w:pStyle w:val="Heading2"/>
        <w:spacing w:after="150" w:before="300"/>
      </w:pPr>
      <w:r>
        <w:rPr>
          <w:rFonts w:ascii="Calibri" w:cs="Calibri" w:eastAsia="Calibri" w:hAnsi="Calibri"/>
          <w:b/>
          <w:bCs/>
          <w:color w:val="2E74B5"/>
          <w:sz w:val="25"/>
          <w:szCs w:val="25"/>
        </w:rPr>
        <w:t xml:space="preserve">2.2 Client and Vertical Mix</w:t>
      </w:r>
    </w:p>
    <w:p>
      <w:pPr>
        <w:spacing w:after="160" w:line="276"/>
        <w:jc w:val="both"/>
      </w:pPr>
      <w:r>
        <w:rPr>
          <w:rFonts w:ascii="Calibri" w:cs="Calibri" w:eastAsia="Calibri" w:hAnsi="Calibri"/>
          <w:color w:val="262626"/>
          <w:sz w:val="21"/>
          <w:szCs w:val="21"/>
        </w:rPr>
        <w:t xml:space="preserve">HCLTech served 22 clients contributing over US$100 million each in FY25 (flat year-on-year) and 52 clients over US$50 million (up from 46). Financial Services (20.1%), Manufacturing (18.5%), Lifesciences and Healthcare (15.9%) and Technology and Services (14.6%) are the largest industry verticals by revenue contribution. Telecommunications, Media, Publishing and Entertainment was the fastest-growing vertical in FY25, expanding 43.4%, followed by Retail and CPG at 10.7%.</w:t>
      </w:r>
    </w:p>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3. Financial Performance Analysis (FY2024-25)</w:t>
      </w:r>
    </w:p>
    <w:p>
      <w:pPr>
        <w:pStyle w:val="Heading2"/>
        <w:spacing w:after="150" w:before="300"/>
      </w:pPr>
      <w:r>
        <w:rPr>
          <w:rFonts w:ascii="Calibri" w:cs="Calibri" w:eastAsia="Calibri" w:hAnsi="Calibri"/>
          <w:b/>
          <w:bCs/>
          <w:color w:val="2E74B5"/>
          <w:sz w:val="25"/>
          <w:szCs w:val="25"/>
        </w:rPr>
        <w:t xml:space="preserve">3.1 Headline Results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3600"/>
        <w:gridCol w:w="2900"/>
        <w:gridCol w:w="2850"/>
      </w:tblGrid>
      <w:tr>
        <w:trPr>
          <w:tblHeader/>
        </w:trPr>
        <w:tc>
          <w:tcPr>
            <w:tcW w:type="dxa" w:w="360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Metric</w:t>
            </w:r>
          </w:p>
        </w:tc>
        <w:tc>
          <w:tcPr>
            <w:tcW w:type="dxa" w:w="29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FY2024-25</w:t>
            </w:r>
          </w:p>
        </w:tc>
        <w:tc>
          <w:tcPr>
            <w:tcW w:type="dxa" w:w="285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YoY Change</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Revenue from operations</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₹117,055 Cr (US$13.8B)</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+6.5% (INR) / +4.7% CC</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Services revenue</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₹105,398 Cr</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+6.6%</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EBIT</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₹21,420 Cr</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+7.0%</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EBIT margin</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18.3%</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+7 bps</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Profit after tax</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₹17,390 Cr</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+10.8%</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Net income margin</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14.7%</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+50 bps (approx.)</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Free cash flow</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₹21,153 Cr</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FCF/Net Income ratio 122%</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Return on invested capital (ROIC)</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37.9%</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+376 bps (Services)</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Return on equity</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25%</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Dividend paid</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₹16,250 Cr</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Payout ratio 93.5%</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New deal TCV (net new bookings)</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US$9.3B</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66 large deals signed</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Employees (closing headcount)</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223,420</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w:t>
            </w:r>
          </w:p>
        </w:tc>
      </w:tr>
      <w:tr>
        <w:tc>
          <w:tcPr>
            <w:tcW w:type="dxa" w:w="360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Voluntary attrition (IT Services, LTM)</w:t>
            </w:r>
          </w:p>
        </w:tc>
        <w:tc>
          <w:tcPr>
            <w:tcW w:type="dxa" w:w="29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13.0%</w:t>
            </w:r>
          </w:p>
        </w:tc>
        <w:tc>
          <w:tcPr>
            <w:tcW w:type="dxa" w:w="285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Among lowest in industry</w:t>
            </w:r>
          </w:p>
        </w:tc>
      </w:tr>
    </w:tbl>
    <w:p>
      <w:pPr>
        <w:spacing w:after="200" w:before="80"/>
      </w:pPr>
      <w:r>
        <w:rPr>
          <w:rFonts w:ascii="Calibri" w:cs="Calibri" w:eastAsia="Calibri" w:hAnsi="Calibri"/>
          <w:i/>
          <w:iCs/>
          <w:color w:val="595959"/>
          <w:sz w:val="17"/>
          <w:szCs w:val="17"/>
        </w:rPr>
        <w:t xml:space="preserve">Source: HCLTech Annual Report 2024-25, Corporate Overview and MD&amp;A sections.</w:t>
      </w:r>
    </w:p>
    <w:p>
      <w:pPr>
        <w:pStyle w:val="Heading2"/>
        <w:spacing w:after="150" w:before="300"/>
      </w:pPr>
      <w:r>
        <w:rPr>
          <w:rFonts w:ascii="Calibri" w:cs="Calibri" w:eastAsia="Calibri" w:hAnsi="Calibri"/>
          <w:b/>
          <w:bCs/>
          <w:color w:val="2E74B5"/>
          <w:sz w:val="25"/>
          <w:szCs w:val="25"/>
        </w:rPr>
        <w:t xml:space="preserve">3.2 Five-Year Trend</w:t>
      </w:r>
    </w:p>
    <w:p>
      <w:pPr>
        <w:spacing w:after="160" w:line="276"/>
        <w:jc w:val="both"/>
      </w:pPr>
      <w:r>
        <w:rPr>
          <w:rFonts w:ascii="Calibri" w:cs="Calibri" w:eastAsia="Calibri" w:hAnsi="Calibri"/>
          <w:color w:val="262626"/>
          <w:sz w:val="21"/>
          <w:szCs w:val="21"/>
        </w:rPr>
        <w:t xml:space="preserve">Revenue has grown from ₹75,379 crore in FY21 to ₹117,055 crore in FY25, a CAGR of approximately 11.6%. Earnings before other income, tax and finance cost rose from ₹15,437 crore to ₹21,420 crore over the same period (CAGR ~8.5%). The free cash flow to net income ratio has moderated from a peak of 159% in FY21 to 122% in FY25, while the dividend payout ratio has risen steadily from 63.3% to 93.5%, reflecting a maturing capital allocation policy that returns a growing share of profit to shareholders as the underlying growth rate normalises.</w:t>
      </w:r>
    </w:p>
    <w:p>
      <w:pPr>
        <w:pStyle w:val="Heading2"/>
        <w:spacing w:after="150" w:before="300"/>
      </w:pPr>
      <w:r>
        <w:rPr>
          <w:rFonts w:ascii="Calibri" w:cs="Calibri" w:eastAsia="Calibri" w:hAnsi="Calibri"/>
          <w:b/>
          <w:bCs/>
          <w:color w:val="2E74B5"/>
          <w:sz w:val="25"/>
          <w:szCs w:val="25"/>
        </w:rPr>
        <w:t xml:space="preserve">3.3 Strategic Investments and Portfolio Actions</w:t>
      </w:r>
    </w:p>
    <w:p>
      <w:pPr>
        <w:spacing w:after="160" w:line="276"/>
        <w:jc w:val="both"/>
      </w:pPr>
      <w:r>
        <w:rPr>
          <w:rFonts w:ascii="Calibri" w:cs="Calibri" w:eastAsia="Calibri" w:hAnsi="Calibri"/>
          <w:color w:val="262626"/>
          <w:sz w:val="21"/>
          <w:szCs w:val="21"/>
        </w:rPr>
        <w:t xml:space="preserve">During FY25, HCLTech: (i) acquired select telecom-engineering assets of Hewlett Packard Enterprise's Communications Technology Group to strengthen ERS; (ii) acquired Zeenea to expand HCLSoftware's metadata management and data-discovery capabilities; (iii) launched Project Ascend, an internal cost-structure and efficiency transformation programme spanning technology, workforce and geography; and (iv) established HCLTech Public Sector Solutions (PSS), a dedicated subsidiary targeting US state, local, education and federal agencies.</w:t>
      </w:r>
    </w:p>
    <w:p>
      <w:pPr>
        <w:pStyle w:val="Heading1"/>
        <w:pBdr>
          <w:bottom w:val="single" w:color="1F3864" w:sz="8" w:space="4"/>
        </w:pBdr>
        <w:spacing w:after="200" w:before="400"/>
      </w:pPr>
      <w:r>
        <w:rPr>
          <w:rFonts w:ascii="Calibri" w:cs="Calibri" w:eastAsia="Calibri" w:hAnsi="Calibri"/>
          <w:b/>
          <w:bCs/>
          <w:color w:val="1F3864"/>
          <w:sz w:val="30"/>
          <w:szCs w:val="30"/>
        </w:rPr>
        <w:t xml:space="preserve">4. Business Strategy Analysis</w:t>
      </w:r>
    </w:p>
    <w:p>
      <w:pPr>
        <w:spacing w:after="160" w:line="276"/>
        <w:jc w:val="both"/>
      </w:pPr>
      <w:r>
        <w:rPr>
          <w:rFonts w:ascii="Calibri" w:cs="Calibri" w:eastAsia="Calibri" w:hAnsi="Calibri"/>
          <w:color w:val="262626"/>
          <w:sz w:val="21"/>
          <w:szCs w:val="21"/>
        </w:rPr>
        <w:t xml:space="preserve">HCLTech articulates five medium-term strategic objectives (SOs) that anchor its corporate strategy, reviewed and revised annually — most recently in FY25:</w:t>
      </w:r>
    </w:p>
    <w:p>
      <w:pPr>
        <w:pStyle w:val="ListParagraph"/>
        <w:numPr>
          <w:ilvl w:val="0"/>
          <w:numId w:val="2"/>
        </w:numPr>
        <w:spacing w:after="100" w:line="264"/>
      </w:pPr>
      <w:r>
        <w:rPr>
          <w:rFonts w:ascii="Calibri" w:cs="Calibri" w:eastAsia="Calibri" w:hAnsi="Calibri"/>
          <w:color w:val="262626"/>
          <w:sz w:val="21"/>
          <w:szCs w:val="21"/>
        </w:rPr>
        <w:t xml:space="preserve">Leadership through differentiated services and products leveraging our engineering pedigree.</w:t>
      </w:r>
    </w:p>
    <w:p>
      <w:pPr>
        <w:pStyle w:val="ListParagraph"/>
        <w:numPr>
          <w:ilvl w:val="0"/>
          <w:numId w:val="2"/>
        </w:numPr>
        <w:spacing w:after="100" w:line="264"/>
      </w:pPr>
      <w:r>
        <w:rPr>
          <w:rFonts w:ascii="Calibri" w:cs="Calibri" w:eastAsia="Calibri" w:hAnsi="Calibri"/>
          <w:color w:val="262626"/>
          <w:sz w:val="21"/>
          <w:szCs w:val="21"/>
        </w:rPr>
        <w:t xml:space="preserve">Employer of choice for professional services talent across chosen geographies.</w:t>
      </w:r>
    </w:p>
    <w:p>
      <w:pPr>
        <w:pStyle w:val="ListParagraph"/>
        <w:numPr>
          <w:ilvl w:val="0"/>
          <w:numId w:val="2"/>
        </w:numPr>
        <w:spacing w:after="100" w:line="264"/>
      </w:pPr>
      <w:r>
        <w:rPr>
          <w:rFonts w:ascii="Calibri" w:cs="Calibri" w:eastAsia="Calibri" w:hAnsi="Calibri"/>
          <w:color w:val="262626"/>
          <w:sz w:val="21"/>
          <w:szCs w:val="21"/>
        </w:rPr>
        <w:t xml:space="preserve">Preferred digital and AI partner for Global 2000, equivalent and emerging enterprises in chosen markets.</w:t>
      </w:r>
    </w:p>
    <w:p>
      <w:pPr>
        <w:pStyle w:val="ListParagraph"/>
        <w:numPr>
          <w:ilvl w:val="0"/>
          <w:numId w:val="2"/>
        </w:numPr>
        <w:spacing w:after="100" w:line="264"/>
      </w:pPr>
      <w:r>
        <w:rPr>
          <w:rFonts w:ascii="Calibri" w:cs="Calibri" w:eastAsia="Calibri" w:hAnsi="Calibri"/>
          <w:color w:val="262626"/>
          <w:sz w:val="21"/>
          <w:szCs w:val="21"/>
        </w:rPr>
        <w:t xml:space="preserve">Weave ESG (Environmental, Social and Governance) into business strategy.</w:t>
      </w:r>
    </w:p>
    <w:p>
      <w:pPr>
        <w:pStyle w:val="ListParagraph"/>
        <w:numPr>
          <w:ilvl w:val="0"/>
          <w:numId w:val="2"/>
        </w:numPr>
        <w:spacing w:after="100" w:line="264"/>
      </w:pPr>
      <w:r>
        <w:rPr>
          <w:rFonts w:ascii="Calibri" w:cs="Calibri" w:eastAsia="Calibri" w:hAnsi="Calibri"/>
          <w:color w:val="262626"/>
          <w:sz w:val="21"/>
          <w:szCs w:val="21"/>
        </w:rPr>
        <w:t xml:space="preserve">Continue to deliver top-quartile Total Shareholder Return (TSR) over the medium term.</w:t>
      </w:r>
    </w:p>
    <w:p>
      <w:pPr>
        <w:spacing w:after="160" w:line="276"/>
        <w:jc w:val="both"/>
      </w:pPr>
      <w:r>
        <w:rPr>
          <w:rFonts w:ascii="Calibri" w:cs="Calibri" w:eastAsia="Calibri" w:hAnsi="Calibri"/>
          <w:color w:val="262626"/>
          <w:sz w:val="21"/>
          <w:szCs w:val="21"/>
        </w:rPr>
        <w:t xml:space="preserve">These objectives are supported by a go-to-market model segmented by industry vertical (Financial Services, Manufacturing, Lifesciences &amp; Healthcare, Technology &amp; Services, Public Services, Retail &amp; CPG, Telecommunications/Media) and by geography, which HCLTech classifies into Core, Focus and New Frontier markets based on size, growth stage and technology spend intensity.</w:t>
      </w:r>
    </w:p>
    <w:p>
      <w:pPr>
        <w:pStyle w:val="Heading2"/>
        <w:spacing w:after="150" w:before="300"/>
      </w:pPr>
      <w:r>
        <w:rPr>
          <w:rFonts w:ascii="Calibri" w:cs="Calibri" w:eastAsia="Calibri" w:hAnsi="Calibri"/>
          <w:b/>
          <w:bCs/>
          <w:color w:val="2E74B5"/>
          <w:sz w:val="25"/>
          <w:szCs w:val="25"/>
        </w:rPr>
        <w:t xml:space="preserve">4.1 The Twelve Growth Vectors</w:t>
      </w:r>
    </w:p>
    <w:p>
      <w:pPr>
        <w:spacing w:after="160" w:line="276"/>
        <w:jc w:val="both"/>
      </w:pPr>
      <w:r>
        <w:rPr>
          <w:rFonts w:ascii="Calibri" w:cs="Calibri" w:eastAsia="Calibri" w:hAnsi="Calibri"/>
          <w:color w:val="262626"/>
          <w:sz w:val="21"/>
          <w:szCs w:val="21"/>
        </w:rPr>
        <w:t xml:space="preserve">To translate strategy into execution, HCLTech has identified 12 near-term growth vectors, including: full-stack AI solutions enabled by its AI Force and AI Foundry platforms; vertical digital engineering opportunities in telecommunications, semiconductors and automotive; expansion of cybersecurity services (an industry segment growing above 20%); growth through Global 2000-equivalent and "Future G2000" clients; deeper market participation in Focus and New Frontier geographies; and sustained leadership in its two largest verticals, BFSI and Telecom/Media/Technology (TMT), which together represent over 40% of the addressable IT services market.</w:t>
      </w:r>
    </w:p>
    <w:p>
      <w:pPr>
        <w:pStyle w:val="Heading2"/>
        <w:spacing w:after="150" w:before="300"/>
      </w:pPr>
      <w:r>
        <w:rPr>
          <w:rFonts w:ascii="Calibri" w:cs="Calibri" w:eastAsia="Calibri" w:hAnsi="Calibri"/>
          <w:b/>
          <w:bCs/>
          <w:color w:val="2E74B5"/>
          <w:sz w:val="25"/>
          <w:szCs w:val="25"/>
        </w:rPr>
        <w:t xml:space="preserve">4.2 AI and Non-Linear Growth</w:t>
      </w:r>
    </w:p>
    <w:p>
      <w:pPr>
        <w:spacing w:after="160" w:line="276"/>
        <w:jc w:val="both"/>
      </w:pPr>
      <w:r>
        <w:rPr>
          <w:rFonts w:ascii="Calibri" w:cs="Calibri" w:eastAsia="Calibri" w:hAnsi="Calibri"/>
          <w:color w:val="262626"/>
          <w:sz w:val="21"/>
          <w:szCs w:val="21"/>
        </w:rPr>
        <w:t xml:space="preserve">Management explicitly frames GenAI as both the single largest risk and the single largest opportunity confronting the traditional linear (headcount-driven) services model. HCLTech's response includes AI Force (an AI-augmented software development and engineering platform, model-agnostic and integrated with Azure OpenAI, GitHub Copilot, Amazon Bedrock and Google Gemini) and AI Foundry (an enterprise AI and data integration platform on Microsoft Azure). The company reports having trained over 106,000 employees in GenAI during FY25 and operates AI Labs across the US, Europe and Asia. This is a direct strategic attempt to decouple revenue growth from headcount growth — a structural shift the entire industry is navigating simultaneously.</w:t>
      </w:r>
    </w:p>
    <w:p>
      <w:pPr>
        <w:pStyle w:val="Heading2"/>
        <w:spacing w:after="150" w:before="300"/>
      </w:pPr>
      <w:r>
        <w:rPr>
          <w:rFonts w:ascii="Calibri" w:cs="Calibri" w:eastAsia="Calibri" w:hAnsi="Calibri"/>
          <w:b/>
          <w:bCs/>
          <w:color w:val="2E74B5"/>
          <w:sz w:val="25"/>
          <w:szCs w:val="25"/>
        </w:rPr>
        <w:t xml:space="preserve">4.3 Capital Allocation and Governance</w:t>
      </w:r>
    </w:p>
    <w:p>
      <w:pPr>
        <w:spacing w:after="160" w:line="276"/>
        <w:jc w:val="both"/>
      </w:pPr>
      <w:r>
        <w:rPr>
          <w:rFonts w:ascii="Calibri" w:cs="Calibri" w:eastAsia="Calibri" w:hAnsi="Calibri"/>
          <w:color w:val="262626"/>
          <w:sz w:val="21"/>
          <w:szCs w:val="21"/>
        </w:rPr>
        <w:t xml:space="preserve">HCLTech's stated approach favours disciplined budgeting, top-quartile TSR delivery (25-year IPO-to-date TSR CAGR of 20.6%), and continued high dividend payout (93.5% of net income in FY25). Its Enterprise Risk Management framework, based on ISO 31000:2018 and the COSO ERM Integrated Framework, classifies risk into five categories — Strategic, Financial, Cyber and Resilience, Operational, and Governance and Compliance — with a formal Risk and Compliance Apex Committee (RCAC) led by a Chief Risk Officer.</w:t>
      </w:r>
    </w:p>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5. Competitive Landscape and Competitor Identification</w:t>
      </w:r>
    </w:p>
    <w:p>
      <w:pPr>
        <w:spacing w:after="160" w:line="276"/>
        <w:jc w:val="both"/>
      </w:pPr>
      <w:r>
        <w:rPr>
          <w:rFonts w:ascii="Calibri" w:cs="Calibri" w:eastAsia="Calibri" w:hAnsi="Calibri"/>
          <w:color w:val="262626"/>
          <w:sz w:val="21"/>
          <w:szCs w:val="21"/>
        </w:rPr>
        <w:t xml:space="preserve">Consistent with standard competitive-analysis methodology, competitors are classified into direct, indirect and aspirational categories based on audience overlap, service overlap and strategic relevance.</w:t>
      </w:r>
    </w:p>
    <w:p>
      <w:pPr>
        <w:pStyle w:val="Heading2"/>
        <w:spacing w:after="150" w:before="300"/>
      </w:pPr>
      <w:r>
        <w:rPr>
          <w:rFonts w:ascii="Calibri" w:cs="Calibri" w:eastAsia="Calibri" w:hAnsi="Calibri"/>
          <w:b/>
          <w:bCs/>
          <w:color w:val="2E74B5"/>
          <w:sz w:val="25"/>
          <w:szCs w:val="25"/>
        </w:rPr>
        <w:t xml:space="preserve">5.1 Direct Competitors — Indian IT Services Majors</w:t>
      </w:r>
    </w:p>
    <w:p>
      <w:pPr>
        <w:spacing w:after="160" w:line="276"/>
        <w:jc w:val="both"/>
      </w:pPr>
      <w:r>
        <w:rPr>
          <w:rFonts w:ascii="Calibri" w:cs="Calibri" w:eastAsia="Calibri" w:hAnsi="Calibri"/>
          <w:color w:val="262626"/>
          <w:sz w:val="21"/>
          <w:szCs w:val="21"/>
        </w:rPr>
        <w:t xml:space="preserve">These companies compete for the same large-enterprise outsourcing, digital transformation and engineering mandates as HCLTech, drawing from a similar India-centred delivery and talent model.</w:t>
      </w:r>
    </w:p>
    <w:p>
      <w:pPr>
        <w:pStyle w:val="ListParagraph"/>
        <w:numPr>
          <w:ilvl w:val="0"/>
          <w:numId w:val="2"/>
        </w:numPr>
        <w:spacing w:after="100" w:line="264"/>
      </w:pPr>
      <w:r>
        <w:rPr>
          <w:rFonts w:ascii="Calibri" w:cs="Calibri" w:eastAsia="Calibri" w:hAnsi="Calibri"/>
          <w:b/>
          <w:bCs/>
          <w:color w:val="262626"/>
          <w:sz w:val="21"/>
          <w:szCs w:val="21"/>
        </w:rPr>
        <w:t xml:space="preserve">Tata Consultancy Services (TCS):</w:t>
      </w:r>
      <w:r>
        <w:rPr>
          <w:rFonts w:ascii="Calibri" w:cs="Calibri" w:eastAsia="Calibri" w:hAnsi="Calibri"/>
          <w:color w:val="262626"/>
          <w:sz w:val="21"/>
          <w:szCs w:val="21"/>
        </w:rPr>
        <w:t xml:space="preserve"> The largest Indian IT services company by revenue and margin; principal benchmark for scale and profitability.</w:t>
      </w:r>
    </w:p>
    <w:p>
      <w:pPr>
        <w:pStyle w:val="ListParagraph"/>
        <w:numPr>
          <w:ilvl w:val="0"/>
          <w:numId w:val="2"/>
        </w:numPr>
        <w:spacing w:after="100" w:line="264"/>
      </w:pPr>
      <w:r>
        <w:rPr>
          <w:rFonts w:ascii="Calibri" w:cs="Calibri" w:eastAsia="Calibri" w:hAnsi="Calibri"/>
          <w:b/>
          <w:bCs/>
          <w:color w:val="262626"/>
          <w:sz w:val="21"/>
          <w:szCs w:val="21"/>
        </w:rPr>
        <w:t xml:space="preserve">Infosys:</w:t>
      </w:r>
      <w:r>
        <w:rPr>
          <w:rFonts w:ascii="Calibri" w:cs="Calibri" w:eastAsia="Calibri" w:hAnsi="Calibri"/>
          <w:color w:val="262626"/>
          <w:sz w:val="21"/>
          <w:szCs w:val="21"/>
        </w:rPr>
        <w:t xml:space="preserve"> The second-largest Indian IT major; closest peer on services mix and enterprise consulting depth.</w:t>
      </w:r>
    </w:p>
    <w:p>
      <w:pPr>
        <w:pStyle w:val="ListParagraph"/>
        <w:numPr>
          <w:ilvl w:val="0"/>
          <w:numId w:val="2"/>
        </w:numPr>
        <w:spacing w:after="100" w:line="264"/>
      </w:pPr>
      <w:r>
        <w:rPr>
          <w:rFonts w:ascii="Calibri" w:cs="Calibri" w:eastAsia="Calibri" w:hAnsi="Calibri"/>
          <w:b/>
          <w:bCs/>
          <w:color w:val="262626"/>
          <w:sz w:val="21"/>
          <w:szCs w:val="21"/>
        </w:rPr>
        <w:t xml:space="preserve">Wipro:</w:t>
      </w:r>
      <w:r>
        <w:rPr>
          <w:rFonts w:ascii="Calibri" w:cs="Calibri" w:eastAsia="Calibri" w:hAnsi="Calibri"/>
          <w:color w:val="262626"/>
          <w:sz w:val="21"/>
          <w:szCs w:val="21"/>
        </w:rPr>
        <w:t xml:space="preserve"> A diversified peer of comparable heritage, currently in a margin-recovery phase under new leadership.</w:t>
      </w:r>
    </w:p>
    <w:p>
      <w:pPr>
        <w:pStyle w:val="ListParagraph"/>
        <w:numPr>
          <w:ilvl w:val="0"/>
          <w:numId w:val="2"/>
        </w:numPr>
        <w:spacing w:after="100" w:line="264"/>
      </w:pPr>
      <w:r>
        <w:rPr>
          <w:rFonts w:ascii="Calibri" w:cs="Calibri" w:eastAsia="Calibri" w:hAnsi="Calibri"/>
          <w:b/>
          <w:bCs/>
          <w:color w:val="262626"/>
          <w:sz w:val="21"/>
          <w:szCs w:val="21"/>
        </w:rPr>
        <w:t xml:space="preserve">Tech Mahindra:</w:t>
      </w:r>
      <w:r>
        <w:rPr>
          <w:rFonts w:ascii="Calibri" w:cs="Calibri" w:eastAsia="Calibri" w:hAnsi="Calibri"/>
          <w:color w:val="262626"/>
          <w:sz w:val="21"/>
          <w:szCs w:val="21"/>
        </w:rPr>
        <w:t xml:space="preserve"> A telecom- and BFSI-weighted peer with meaningfully lower scale and margin, currently mid-transformation.</w:t>
      </w:r>
    </w:p>
    <w:p>
      <w:pPr>
        <w:pStyle w:val="ListParagraph"/>
        <w:numPr>
          <w:ilvl w:val="0"/>
          <w:numId w:val="2"/>
        </w:numPr>
        <w:spacing w:after="100" w:line="264"/>
      </w:pPr>
      <w:r>
        <w:rPr>
          <w:rFonts w:ascii="Calibri" w:cs="Calibri" w:eastAsia="Calibri" w:hAnsi="Calibri"/>
          <w:b/>
          <w:bCs/>
          <w:color w:val="262626"/>
          <w:sz w:val="21"/>
          <w:szCs w:val="21"/>
        </w:rPr>
        <w:t xml:space="preserve">LTIMindtree:</w:t>
      </w:r>
      <w:r>
        <w:rPr>
          <w:rFonts w:ascii="Calibri" w:cs="Calibri" w:eastAsia="Calibri" w:hAnsi="Calibri"/>
          <w:color w:val="262626"/>
          <w:sz w:val="21"/>
          <w:szCs w:val="21"/>
        </w:rPr>
        <w:t xml:space="preserve"> The youngest major peer (formed from the 2022 LTI-Mindtree merger), smaller in scale but comparable in growth ambition.</w:t>
      </w:r>
    </w:p>
    <w:p>
      <w:pPr>
        <w:pStyle w:val="Heading2"/>
        <w:spacing w:after="150" w:before="300"/>
      </w:pPr>
      <w:r>
        <w:rPr>
          <w:rFonts w:ascii="Calibri" w:cs="Calibri" w:eastAsia="Calibri" w:hAnsi="Calibri"/>
          <w:b/>
          <w:bCs/>
          <w:color w:val="2E74B5"/>
          <w:sz w:val="25"/>
          <w:szCs w:val="25"/>
        </w:rPr>
        <w:t xml:space="preserve">5.2 Indirect / Global Competitors</w:t>
      </w:r>
    </w:p>
    <w:p>
      <w:pPr>
        <w:pStyle w:val="ListParagraph"/>
        <w:numPr>
          <w:ilvl w:val="0"/>
          <w:numId w:val="2"/>
        </w:numPr>
        <w:spacing w:after="100" w:line="264"/>
      </w:pPr>
      <w:r>
        <w:rPr>
          <w:rFonts w:ascii="Calibri" w:cs="Calibri" w:eastAsia="Calibri" w:hAnsi="Calibri"/>
          <w:b/>
          <w:bCs/>
          <w:color w:val="262626"/>
          <w:sz w:val="21"/>
          <w:szCs w:val="21"/>
        </w:rPr>
        <w:t xml:space="preserve">Cognizant:</w:t>
      </w:r>
      <w:r>
        <w:rPr>
          <w:rFonts w:ascii="Calibri" w:cs="Calibri" w:eastAsia="Calibri" w:hAnsi="Calibri"/>
          <w:color w:val="262626"/>
          <w:sz w:val="21"/>
          <w:szCs w:val="21"/>
        </w:rPr>
        <w:t xml:space="preserve"> A US-headquartered peer of similar revenue scale to HCLTech, competing intensely in BFSI, healthcare and life sciences outsourcing.</w:t>
      </w:r>
    </w:p>
    <w:p>
      <w:pPr>
        <w:pStyle w:val="ListParagraph"/>
        <w:numPr>
          <w:ilvl w:val="0"/>
          <w:numId w:val="2"/>
        </w:numPr>
        <w:spacing w:after="100" w:line="264"/>
      </w:pPr>
      <w:r>
        <w:rPr>
          <w:rFonts w:ascii="Calibri" w:cs="Calibri" w:eastAsia="Calibri" w:hAnsi="Calibri"/>
          <w:b/>
          <w:bCs/>
          <w:color w:val="262626"/>
          <w:sz w:val="21"/>
          <w:szCs w:val="21"/>
        </w:rPr>
        <w:t xml:space="preserve">Capgemini:</w:t>
      </w:r>
      <w:r>
        <w:rPr>
          <w:rFonts w:ascii="Calibri" w:cs="Calibri" w:eastAsia="Calibri" w:hAnsi="Calibri"/>
          <w:color w:val="262626"/>
          <w:sz w:val="21"/>
          <w:szCs w:val="21"/>
        </w:rPr>
        <w:t xml:space="preserve"> A capability-overlapping European IT and consulting major, most active in HCLTech's core Digital Business Services and Cloud offerings; not separately benchmarked in Section 6 owing to more limited recent disclosure but relevant to the competitive set.</w:t>
      </w:r>
    </w:p>
    <w:p>
      <w:pPr>
        <w:pStyle w:val="Heading2"/>
        <w:spacing w:after="150" w:before="300"/>
      </w:pPr>
      <w:r>
        <w:rPr>
          <w:rFonts w:ascii="Calibri" w:cs="Calibri" w:eastAsia="Calibri" w:hAnsi="Calibri"/>
          <w:b/>
          <w:bCs/>
          <w:color w:val="2E74B5"/>
          <w:sz w:val="25"/>
          <w:szCs w:val="25"/>
        </w:rPr>
        <w:t xml:space="preserve">5.3 Aspirational Competitor — Global Systems Integration Leader</w:t>
      </w:r>
    </w:p>
    <w:p>
      <w:pPr>
        <w:pStyle w:val="ListParagraph"/>
        <w:numPr>
          <w:ilvl w:val="0"/>
          <w:numId w:val="2"/>
        </w:numPr>
        <w:spacing w:after="100" w:line="264"/>
      </w:pPr>
      <w:r>
        <w:rPr>
          <w:rFonts w:ascii="Calibri" w:cs="Calibri" w:eastAsia="Calibri" w:hAnsi="Calibri"/>
          <w:b/>
          <w:bCs/>
          <w:color w:val="262626"/>
          <w:sz w:val="21"/>
          <w:szCs w:val="21"/>
        </w:rPr>
        <w:t xml:space="preserve">Accenture:</w:t>
      </w:r>
      <w:r>
        <w:rPr>
          <w:rFonts w:ascii="Calibri" w:cs="Calibri" w:eastAsia="Calibri" w:hAnsi="Calibri"/>
          <w:color w:val="262626"/>
          <w:sz w:val="21"/>
          <w:szCs w:val="21"/>
        </w:rPr>
        <w:t xml:space="preserve"> Roughly five times HCLTech's revenue and the global benchmark for management-consulting-led, technology-enabled transformation; not a like-for-like peer on delivery model, but the aspirational standard for consulting depth, brand strength and account penetration.</w:t>
      </w:r>
    </w:p>
    <w:p>
      <w:pPr>
        <w:spacing w:after="160" w:line="276"/>
        <w:jc w:val="both"/>
      </w:pPr>
      <w:r>
        <w:rPr>
          <w:rFonts w:ascii="Calibri" w:cs="Calibri" w:eastAsia="Calibri" w:hAnsi="Calibri"/>
          <w:color w:val="262626"/>
          <w:sz w:val="21"/>
          <w:szCs w:val="21"/>
        </w:rPr>
        <w:t xml:space="preserve">This report benchmarks HCLTech against the five direct Indian peers and the two global reference points (Cognizant and Accenture) on financial performance in Section 6, and on strategic and product positioning in Section 7.</w:t>
      </w:r>
    </w:p>
    <w:p>
      <w:pPr>
        <w:pStyle w:val="Heading1"/>
        <w:pBdr>
          <w:bottom w:val="single" w:color="1F3864" w:sz="8" w:space="4"/>
        </w:pBdr>
        <w:spacing w:after="200" w:before="400"/>
      </w:pPr>
      <w:r>
        <w:rPr>
          <w:rFonts w:ascii="Calibri" w:cs="Calibri" w:eastAsia="Calibri" w:hAnsi="Calibri"/>
          <w:b/>
          <w:bCs/>
          <w:color w:val="1F3864"/>
          <w:sz w:val="30"/>
          <w:szCs w:val="30"/>
        </w:rPr>
        <w:t xml:space="preserve">6. Competitive Benchmarking — Financial Performance (FY2024-25)</w:t>
      </w:r>
    </w:p>
    <w:p>
      <w:pPr>
        <w:spacing w:after="160" w:line="276"/>
        <w:jc w:val="both"/>
      </w:pPr>
      <w:r>
        <w:rPr>
          <w:rFonts w:ascii="Calibri" w:cs="Calibri" w:eastAsia="Calibri" w:hAnsi="Calibri"/>
          <w:i/>
          <w:iCs/>
          <w:color w:val="262626"/>
          <w:sz w:val="21"/>
          <w:szCs w:val="21"/>
        </w:rPr>
        <w:t xml:space="preserve">The table below compares FY2024-25 (or nearest disclosed fiscal/financial year) results across the peer set. Figures are drawn from each company's own FY25 results disclosures; fiscal year-end dates differ (HCLTech, TCS, Infosys, Wipro, Tech Mahindra and LTIMindtree report on an April–March fiscal year; Cognizant reports on a calendar year; Accenture reports on a September–August fiscal year), so comparisons should be read as directional rather than strictly like-for-like.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750"/>
        <w:gridCol w:w="1500"/>
        <w:gridCol w:w="1500"/>
        <w:gridCol w:w="1500"/>
        <w:gridCol w:w="1500"/>
        <w:gridCol w:w="1600"/>
      </w:tblGrid>
      <w:tr>
        <w:trPr>
          <w:tblHeader/>
        </w:trPr>
        <w:tc>
          <w:tcPr>
            <w:tcW w:type="dxa" w:w="175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Company</w:t>
            </w:r>
          </w:p>
        </w:tc>
        <w:tc>
          <w:tcPr>
            <w:tcW w:type="dxa" w:w="15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FY25 Revenue (USD)</w:t>
            </w:r>
          </w:p>
        </w:tc>
        <w:tc>
          <w:tcPr>
            <w:tcW w:type="dxa" w:w="15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Revenue Growth (CC)</w:t>
            </w:r>
          </w:p>
        </w:tc>
        <w:tc>
          <w:tcPr>
            <w:tcW w:type="dxa" w:w="15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Operating / EBIT Margin</w:t>
            </w:r>
          </w:p>
        </w:tc>
        <w:tc>
          <w:tcPr>
            <w:tcW w:type="dxa" w:w="15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Net Profit (local currency)</w:t>
            </w:r>
          </w:p>
        </w:tc>
        <w:tc>
          <w:tcPr>
            <w:tcW w:type="dxa" w:w="1600"/>
            <w:shd w:fill="1F3864" w:val="clear"/>
            <w:tcMar>
              <w:top w:type="dxa" w:w="80"/>
              <w:left w:type="dxa" w:w="100"/>
              <w:bottom w:type="dxa" w:w="80"/>
              <w:right w:type="dxa" w:w="100"/>
            </w:tcMar>
            <w:vAlign w:val="center"/>
          </w:tcPr>
          <w:p>
            <w:pPr>
              <w:jc w:val="center"/>
            </w:pPr>
            <w:r>
              <w:rPr>
                <w:rFonts w:ascii="Calibri" w:cs="Calibri" w:eastAsia="Calibri" w:hAnsi="Calibri"/>
                <w:b/>
                <w:bCs/>
                <w:color w:val="FFFFFF"/>
                <w:sz w:val="19"/>
                <w:szCs w:val="19"/>
              </w:rPr>
              <w:t xml:space="preserve">Employees (approx.)</w:t>
            </w:r>
          </w:p>
        </w:tc>
      </w:tr>
      <w:tr>
        <w:tc>
          <w:tcPr>
            <w:tcW w:type="dxa" w:w="17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HCLTech</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US$13.8B</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+4.7%</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18.3%</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₹17,390 Cr</w:t>
            </w:r>
          </w:p>
        </w:tc>
        <w:tc>
          <w:tcPr>
            <w:tcW w:type="dxa" w:w="16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223,420</w:t>
            </w:r>
          </w:p>
        </w:tc>
      </w:tr>
      <w:tr>
        <w:tc>
          <w:tcPr>
            <w:tcW w:type="dxa" w:w="17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TCS</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US$30.2B (₹2,55,324 Cr)</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n/d (USD +3.8%)</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24.3%</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₹48,797 Cr</w:t>
            </w:r>
          </w:p>
        </w:tc>
        <w:tc>
          <w:tcPr>
            <w:tcW w:type="dxa" w:w="16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~608,000</w:t>
            </w:r>
          </w:p>
        </w:tc>
      </w:tr>
      <w:tr>
        <w:tc>
          <w:tcPr>
            <w:tcW w:type="dxa" w:w="17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Infosys</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US$19.28B</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+4.2%</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21.1%</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n/d (USD)</w:t>
            </w:r>
          </w:p>
        </w:tc>
        <w:tc>
          <w:tcPr>
            <w:tcW w:type="dxa" w:w="16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~300,000+</w:t>
            </w:r>
          </w:p>
        </w:tc>
      </w:tr>
      <w:tr>
        <w:tc>
          <w:tcPr>
            <w:tcW w:type="dxa" w:w="17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Wipro (IT Services)</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~US$10.5B</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 (0.9)% CC</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17.1%</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n/d (segment)</w:t>
            </w:r>
          </w:p>
        </w:tc>
        <w:tc>
          <w:tcPr>
            <w:tcW w:type="dxa" w:w="16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~230,000 (group)</w:t>
            </w:r>
          </w:p>
        </w:tc>
      </w:tr>
      <w:tr>
        <w:tc>
          <w:tcPr>
            <w:tcW w:type="dxa" w:w="17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Tech Mahindra</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US$6.26B (₹52,988 Cr)</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~flat CC</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9.7% (EBIT)</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₹4,252 Cr</w:t>
            </w:r>
          </w:p>
        </w:tc>
        <w:tc>
          <w:tcPr>
            <w:tcW w:type="dxa" w:w="16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~148,000</w:t>
            </w:r>
          </w:p>
        </w:tc>
      </w:tr>
      <w:tr>
        <w:tc>
          <w:tcPr>
            <w:tcW w:type="dxa" w:w="17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LTIMindtree</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US$4.49B</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+5.0%</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14.5% (EBIT)</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US$543.9M</w:t>
            </w:r>
          </w:p>
        </w:tc>
        <w:tc>
          <w:tcPr>
            <w:tcW w:type="dxa" w:w="16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84,307</w:t>
            </w:r>
          </w:p>
        </w:tc>
      </w:tr>
      <w:tr>
        <w:tc>
          <w:tcPr>
            <w:tcW w:type="dxa" w:w="17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Cognizant (CY2025)</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~US$21.05B*</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+6.0–6.3% CC (guide)</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~15.7–16.1%</w:t>
            </w:r>
          </w:p>
        </w:tc>
        <w:tc>
          <w:tcPr>
            <w:tcW w:type="dxa" w:w="15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n/d in this analysis</w:t>
            </w:r>
          </w:p>
        </w:tc>
        <w:tc>
          <w:tcPr>
            <w:tcW w:type="dxa" w:w="1600"/>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~350,000</w:t>
            </w:r>
          </w:p>
        </w:tc>
      </w:tr>
      <w:tr>
        <w:tc>
          <w:tcPr>
            <w:tcW w:type="dxa" w:w="17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Accenture (FY25, Aug YE)</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US$69.7B</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+7.0% (USD &amp; LC)</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14.7% GAAP / 15.6% adj.</w:t>
            </w:r>
          </w:p>
        </w:tc>
        <w:tc>
          <w:tcPr>
            <w:tcW w:type="dxa" w:w="15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n/d in this analysis</w:t>
            </w:r>
          </w:p>
        </w:tc>
        <w:tc>
          <w:tcPr>
            <w:tcW w:type="dxa" w:w="1600"/>
            <w:shd w:fill="DCE6F1" w:val="clear"/>
            <w:tcMar>
              <w:top w:type="dxa" w:w="80"/>
              <w:left w:type="dxa" w:w="100"/>
              <w:bottom w:type="dxa" w:w="80"/>
              <w:right w:type="dxa" w:w="100"/>
            </w:tcMar>
            <w:vAlign w:val="center"/>
          </w:tcPr>
          <w:p>
            <w:pPr>
              <w:jc w:val="center"/>
            </w:pPr>
            <w:r>
              <w:rPr>
                <w:rFonts w:ascii="Calibri" w:cs="Calibri" w:eastAsia="Calibri" w:hAnsi="Calibri"/>
                <w:b w:val="false"/>
                <w:bCs w:val="false"/>
                <w:color w:val="262626"/>
                <w:sz w:val="19"/>
                <w:szCs w:val="19"/>
              </w:rPr>
              <w:t xml:space="preserve">~800,000+</w:t>
            </w:r>
          </w:p>
        </w:tc>
      </w:tr>
    </w:tbl>
    <w:p>
      <w:pPr>
        <w:spacing w:after="200" w:before="80"/>
      </w:pPr>
      <w:r>
        <w:rPr>
          <w:rFonts w:ascii="Calibri" w:cs="Calibri" w:eastAsia="Calibri" w:hAnsi="Calibri"/>
          <w:i/>
          <w:iCs/>
          <w:color w:val="595959"/>
          <w:sz w:val="17"/>
          <w:szCs w:val="17"/>
        </w:rPr>
        <w:t xml:space="preserve">*Cognizant FY2025 figure is derived from full-year guidance issued October 2025 (implied ~US$21.05–21.10B) rather than final reported results, as the audited FY2025 10-K was not the primary source consulted; treat as approximate and verify against Cognizant's final FY2025 10-K. All other figures are drawn from company results disclosures and press releases; USD/INR conversions for HCLTech, Tech Mahindra and TCS use companies' own reported USD figures where available. "n/d" = not directly disclosed in the sources reviewed for this analysis.</w:t>
      </w:r>
    </w:p>
    <w:p>
      <w:pPr>
        <w:pStyle w:val="Heading2"/>
        <w:spacing w:after="150" w:before="300"/>
      </w:pPr>
      <w:r>
        <w:rPr>
          <w:rFonts w:ascii="Calibri" w:cs="Calibri" w:eastAsia="Calibri" w:hAnsi="Calibri"/>
          <w:b/>
          <w:bCs/>
          <w:color w:val="2E74B5"/>
          <w:sz w:val="25"/>
          <w:szCs w:val="25"/>
        </w:rPr>
        <w:t xml:space="preserve">6.1 Reading the Benchmark</w:t>
      </w:r>
    </w:p>
    <w:p>
      <w:pPr>
        <w:pStyle w:val="ListParagraph"/>
        <w:numPr>
          <w:ilvl w:val="0"/>
          <w:numId w:val="2"/>
        </w:numPr>
        <w:spacing w:after="100" w:line="264"/>
      </w:pPr>
      <w:r>
        <w:rPr>
          <w:rFonts w:ascii="Calibri" w:cs="Calibri" w:eastAsia="Calibri" w:hAnsi="Calibri"/>
          <w:color w:val="262626"/>
          <w:sz w:val="21"/>
          <w:szCs w:val="21"/>
        </w:rPr>
        <w:t xml:space="preserve">TCS is the clear industry leader in absolute scale (over 2x HCLTech's revenue) and profitability, with an EBIT margin roughly 600 basis points above HCLTech's. This margin gap is HCLTech's most persistent competitive disadvantage relative to the segment leader.</w:t>
      </w:r>
    </w:p>
    <w:p>
      <w:pPr>
        <w:pStyle w:val="ListParagraph"/>
        <w:numPr>
          <w:ilvl w:val="0"/>
          <w:numId w:val="2"/>
        </w:numPr>
        <w:spacing w:after="100" w:line="264"/>
      </w:pPr>
      <w:r>
        <w:rPr>
          <w:rFonts w:ascii="Calibri" w:cs="Calibri" w:eastAsia="Calibri" w:hAnsi="Calibri"/>
          <w:color w:val="262626"/>
          <w:sz w:val="21"/>
          <w:szCs w:val="21"/>
        </w:rPr>
        <w:t xml:space="preserve">Infosys sits between TCS and HCLTech on both scale and margin (21.1% vs. HCLTech's 18.3%), while growing at a broadly comparable constant-currency rate in FY25.</w:t>
      </w:r>
    </w:p>
    <w:p>
      <w:pPr>
        <w:pStyle w:val="ListParagraph"/>
        <w:numPr>
          <w:ilvl w:val="0"/>
          <w:numId w:val="2"/>
        </w:numPr>
        <w:spacing w:after="100" w:line="264"/>
      </w:pPr>
      <w:r>
        <w:rPr>
          <w:rFonts w:ascii="Calibri" w:cs="Calibri" w:eastAsia="Calibri" w:hAnsi="Calibri"/>
          <w:color w:val="262626"/>
          <w:sz w:val="21"/>
          <w:szCs w:val="21"/>
        </w:rPr>
        <w:t xml:space="preserve">HCLTech's revenue growth (4.7% CC) outpaced Wipro and Tech Mahindra, both of which posted flat-to-negative constant-currency growth in FY25, and was broadly in line with LTIMindtree.</w:t>
      </w:r>
    </w:p>
    <w:p>
      <w:pPr>
        <w:pStyle w:val="ListParagraph"/>
        <w:numPr>
          <w:ilvl w:val="0"/>
          <w:numId w:val="2"/>
        </w:numPr>
        <w:spacing w:after="100" w:line="264"/>
      </w:pPr>
      <w:r>
        <w:rPr>
          <w:rFonts w:ascii="Calibri" w:cs="Calibri" w:eastAsia="Calibri" w:hAnsi="Calibri"/>
          <w:color w:val="262626"/>
          <w:sz w:val="21"/>
          <w:szCs w:val="21"/>
        </w:rPr>
        <w:t xml:space="preserve">Tech Mahindra's 9.7% EBIT margin, though improving sharply (+360 bps YoY), remains well below the peer average, reflecting its ongoing multi-year turnaround.</w:t>
      </w:r>
    </w:p>
    <w:p>
      <w:pPr>
        <w:pStyle w:val="ListParagraph"/>
        <w:numPr>
          <w:ilvl w:val="0"/>
          <w:numId w:val="2"/>
        </w:numPr>
        <w:spacing w:after="100" w:line="264"/>
      </w:pPr>
      <w:r>
        <w:rPr>
          <w:rFonts w:ascii="Calibri" w:cs="Calibri" w:eastAsia="Calibri" w:hAnsi="Calibri"/>
          <w:color w:val="262626"/>
          <w:sz w:val="21"/>
          <w:szCs w:val="21"/>
        </w:rPr>
        <w:t xml:space="preserve">Against the global peers, Cognizant is HCLTech's closest revenue-scale comparator (~US$21B vs. US$13.8B) with a modestly higher margin profile, while Accenture operates at roughly 5x HCLTech's revenue with a lower margin than the Indian majors — reflecting its more consulting- and delivery-labour-intensive model.</w:t>
      </w:r>
    </w:p>
    <w:p>
      <w:pPr>
        <w:pStyle w:val="Heading1"/>
        <w:pBdr>
          <w:bottom w:val="single" w:color="1F3864" w:sz="8" w:space="4"/>
        </w:pBdr>
        <w:spacing w:after="200" w:before="400"/>
      </w:pPr>
      <w:r>
        <w:rPr>
          <w:rFonts w:ascii="Calibri" w:cs="Calibri" w:eastAsia="Calibri" w:hAnsi="Calibri"/>
          <w:b/>
          <w:bCs/>
          <w:color w:val="1F3864"/>
          <w:sz w:val="30"/>
          <w:szCs w:val="30"/>
        </w:rPr>
        <w:t xml:space="preserve">7. Competitive Benchmarking — Strategy and Portfolio Positioning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650"/>
        <w:gridCol w:w="3850"/>
        <w:gridCol w:w="3850"/>
      </w:tblGrid>
      <w:tr>
        <w:trPr>
          <w:tblHeader/>
        </w:trPr>
        <w:tc>
          <w:tcPr>
            <w:tcW w:type="dxa" w:w="165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Company</w:t>
            </w:r>
          </w:p>
        </w:tc>
        <w:tc>
          <w:tcPr>
            <w:tcW w:type="dxa" w:w="385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Strategic Positioning</w:t>
            </w:r>
          </w:p>
        </w:tc>
        <w:tc>
          <w:tcPr>
            <w:tcW w:type="dxa" w:w="3850"/>
            <w:shd w:fill="1F3864" w:val="clear"/>
            <w:tcMar>
              <w:top w:type="dxa" w:w="80"/>
              <w:left w:type="dxa" w:w="100"/>
              <w:bottom w:type="dxa" w:w="80"/>
              <w:right w:type="dxa" w:w="100"/>
            </w:tcMar>
            <w:vAlign w:val="center"/>
          </w:tcPr>
          <w:p>
            <w:pPr>
              <w:jc w:val="left"/>
            </w:pPr>
            <w:r>
              <w:rPr>
                <w:rFonts w:ascii="Calibri" w:cs="Calibri" w:eastAsia="Calibri" w:hAnsi="Calibri"/>
                <w:b/>
                <w:bCs/>
                <w:color w:val="FFFFFF"/>
                <w:sz w:val="19"/>
                <w:szCs w:val="19"/>
              </w:rPr>
              <w:t xml:space="preserve">Differentiator vs. HCLTech</w:t>
            </w:r>
          </w:p>
        </w:tc>
      </w:tr>
      <w:tr>
        <w:tc>
          <w:tcPr>
            <w:tcW w:type="dxa" w:w="16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TCS</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Scale-led, highly disciplined delivery model; broad industry coverage; heavy investment in proprietary platforms (e.g., Ignio) and BFSI depth.</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Superior operating discipline and margin; larger balance sheet for large-deal absorption; HCLTech counters with faster growth and a larger software annuity business relative to its own size.</w:t>
            </w:r>
          </w:p>
        </w:tc>
      </w:tr>
      <w:tr>
        <w:tc>
          <w:tcPr>
            <w:tcW w:type="dxa" w:w="16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Infosys</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Digital-first positioning (Cobalt for cloud, Topaz for GenAI); strong large-deal TCV momentum; consulting-led transformation focus.</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Comparable digital/AI ambition; HCLTech differentiates via deeper engineering (ERS) and a larger, faster-growing enterprise software arm.</w:t>
            </w:r>
          </w:p>
        </w:tc>
      </w:tr>
      <w:tr>
        <w:tc>
          <w:tcPr>
            <w:tcW w:type="dxa" w:w="16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Wipro</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Consulting- and capital-market-linked repositioning under CEO Srini Pallia; margin-recovery focus after a prolonged growth slowdown.</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HCLTech currently outgrows Wipro on revenue while running a comparable or better IT-services margin, indicating stronger relative momentum.</w:t>
            </w:r>
          </w:p>
        </w:tc>
      </w:tr>
      <w:tr>
        <w:tc>
          <w:tcPr>
            <w:tcW w:type="dxa" w:w="16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Tech Mahindra</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Telecom-anchored heritage (Communications, Media, Entertainment vertical); executing a three-phase (FY25 stabilise, FY26 accelerate, FY27 aspire) turnaround.</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HCLTech's ERS segment directly competes for telecom-engineering work (reinforced by the FY25 HPE CTG asset acquisition), giving HCLTech a stronger position in the same vertical Tech Mahindra is rebuilding around.</w:t>
            </w:r>
          </w:p>
        </w:tc>
      </w:tr>
      <w:tr>
        <w:tc>
          <w:tcPr>
            <w:tcW w:type="dxa" w:w="16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LTIMindtree</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Newest major peer (2022 merger); repositioning in 2026 as "LTM," a "Business Creativity" partner emphasising domain-plus-technology convergence; BFSI- and TMT-weighted like HCLTech.</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Smaller scale and lower margin than HCLTech; HCLTech's larger, more mature software business and engineering franchise represent a structural scale advantage.</w:t>
            </w:r>
          </w:p>
        </w:tc>
      </w:tr>
      <w:tr>
        <w:tc>
          <w:tcPr>
            <w:tcW w:type="dxa" w:w="16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Cognizant</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US-headquartered, healthcare- and BFSI-heavy; "NextGen" efficiency programme mirrors HCLTech's Project Ascend in intent.</w:t>
            </w:r>
          </w:p>
        </w:tc>
        <w:tc>
          <w:tcPr>
            <w:tcW w:type="dxa" w:w="3850"/>
            <w:shd w:fill="DCE6F1" w:val="clear"/>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Comparable revenue scale to HCLTech but with a narrower manufacturing/engineering footprint; HCLTech's ERS and HCLSoftware segments are points of differentiation Cognizant does not match at similar scale.</w:t>
            </w:r>
          </w:p>
        </w:tc>
      </w:tr>
      <w:tr>
        <w:tc>
          <w:tcPr>
            <w:tcW w:type="dxa" w:w="16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Accenture</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Consulting-led, GenAI-bookings leader (US$5.9B GenAI bookings in FY25 alone); enormous scale across strategy, technology and operations.</w:t>
            </w:r>
          </w:p>
        </w:tc>
        <w:tc>
          <w:tcPr>
            <w:tcW w:type="dxa" w:w="3850"/>
            <w:tcMar>
              <w:top w:type="dxa" w:w="80"/>
              <w:left w:type="dxa" w:w="100"/>
              <w:bottom w:type="dxa" w:w="80"/>
              <w:right w:type="dxa" w:w="100"/>
            </w:tcMar>
            <w:vAlign w:val="center"/>
          </w:tcPr>
          <w:p>
            <w:pPr>
              <w:jc w:val="left"/>
            </w:pPr>
            <w:r>
              <w:rPr>
                <w:rFonts w:ascii="Calibri" w:cs="Calibri" w:eastAsia="Calibri" w:hAnsi="Calibri"/>
                <w:b w:val="false"/>
                <w:bCs w:val="false"/>
                <w:color w:val="262626"/>
                <w:sz w:val="19"/>
                <w:szCs w:val="19"/>
              </w:rPr>
              <w:t xml:space="preserve">Not a direct like-for-like competitor on delivery model, but sets the pace on GenAI monetisation and consulting-led account penetration that HCLTech and all Indian peers are racing to match.</w:t>
            </w:r>
          </w:p>
        </w:tc>
      </w:tr>
    </w:tbl>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8. Strengths, Weaknesses, Opportunities and Threats</w:t>
      </w:r>
    </w:p>
    <w:p>
      <w:pPr>
        <w:pStyle w:val="Heading2"/>
        <w:spacing w:after="150" w:before="300"/>
      </w:pPr>
      <w:r>
        <w:rPr>
          <w:rFonts w:ascii="Calibri" w:cs="Calibri" w:eastAsia="Calibri" w:hAnsi="Calibri"/>
          <w:b/>
          <w:bCs/>
          <w:color w:val="2E74B5"/>
          <w:sz w:val="25"/>
          <w:szCs w:val="25"/>
        </w:rPr>
        <w:t xml:space="preserve">8.1 Strengths</w:t>
      </w:r>
    </w:p>
    <w:p>
      <w:pPr>
        <w:pStyle w:val="ListParagraph"/>
        <w:numPr>
          <w:ilvl w:val="0"/>
          <w:numId w:val="2"/>
        </w:numPr>
        <w:spacing w:after="100" w:line="264"/>
      </w:pPr>
      <w:r>
        <w:rPr>
          <w:rFonts w:ascii="Calibri" w:cs="Calibri" w:eastAsia="Calibri" w:hAnsi="Calibri"/>
          <w:b/>
          <w:bCs/>
          <w:color w:val="262626"/>
          <w:sz w:val="21"/>
          <w:szCs w:val="21"/>
        </w:rPr>
        <w:t xml:space="preserve">Consistent outperformance on growth:</w:t>
      </w:r>
      <w:r>
        <w:rPr>
          <w:rFonts w:ascii="Calibri" w:cs="Calibri" w:eastAsia="Calibri" w:hAnsi="Calibri"/>
          <w:color w:val="262626"/>
          <w:sz w:val="21"/>
          <w:szCs w:val="21"/>
        </w:rPr>
        <w:t xml:space="preserve"> HCLTech is the fastest-growing among its comparable Indian peer set for a third consecutive year, with revenue growth outpacing TCS, Infosys, Wipro and Tech Mahindra in FY25 constant-currency terms.</w:t>
      </w:r>
    </w:p>
    <w:p>
      <w:pPr>
        <w:pStyle w:val="ListParagraph"/>
        <w:numPr>
          <w:ilvl w:val="0"/>
          <w:numId w:val="2"/>
        </w:numPr>
        <w:spacing w:after="100" w:line="264"/>
      </w:pPr>
      <w:r>
        <w:rPr>
          <w:rFonts w:ascii="Calibri" w:cs="Calibri" w:eastAsia="Calibri" w:hAnsi="Calibri"/>
          <w:b/>
          <w:bCs/>
          <w:color w:val="262626"/>
          <w:sz w:val="21"/>
          <w:szCs w:val="21"/>
        </w:rPr>
        <w:t xml:space="preserve">Diversified, annuity-rich business mix:</w:t>
      </w:r>
      <w:r>
        <w:rPr>
          <w:rFonts w:ascii="Calibri" w:cs="Calibri" w:eastAsia="Calibri" w:hAnsi="Calibri"/>
          <w:color w:val="262626"/>
          <w:sz w:val="21"/>
          <w:szCs w:val="21"/>
        </w:rPr>
        <w:t xml:space="preserve"> A three-segment structure combining traditional IT services (ITBS), high-value engineering (ERS) and a US$1 billion-plus ARR enterprise software business (HCLSoftware) provides revenue resilience that most Indian peers other than Infosys and Wipro do not replicate at comparable scale.</w:t>
      </w:r>
    </w:p>
    <w:p>
      <w:pPr>
        <w:pStyle w:val="ListParagraph"/>
        <w:numPr>
          <w:ilvl w:val="0"/>
          <w:numId w:val="2"/>
        </w:numPr>
        <w:spacing w:after="100" w:line="264"/>
      </w:pPr>
      <w:r>
        <w:rPr>
          <w:rFonts w:ascii="Calibri" w:cs="Calibri" w:eastAsia="Calibri" w:hAnsi="Calibri"/>
          <w:b/>
          <w:bCs/>
          <w:color w:val="262626"/>
          <w:sz w:val="21"/>
          <w:szCs w:val="21"/>
        </w:rPr>
        <w:t xml:space="preserve">Engineering and R&amp;D leadership:</w:t>
      </w:r>
      <w:r>
        <w:rPr>
          <w:rFonts w:ascii="Calibri" w:cs="Calibri" w:eastAsia="Calibri" w:hAnsi="Calibri"/>
          <w:color w:val="262626"/>
          <w:sz w:val="21"/>
          <w:szCs w:val="21"/>
        </w:rPr>
        <w:t xml:space="preserve"> ERS revenue grew 5.5% YoY (CC) with an 18.0% EBIT margin, reinforced by the FY25 acquisition of HPE's Communications Technology Group assets, positioning HCLTech strongly in semiconductor, telecom and automotive engineering — a market projected to approach US$175 billion by 2028.</w:t>
      </w:r>
    </w:p>
    <w:p>
      <w:pPr>
        <w:pStyle w:val="ListParagraph"/>
        <w:numPr>
          <w:ilvl w:val="0"/>
          <w:numId w:val="2"/>
        </w:numPr>
        <w:spacing w:after="100" w:line="264"/>
      </w:pPr>
      <w:r>
        <w:rPr>
          <w:rFonts w:ascii="Calibri" w:cs="Calibri" w:eastAsia="Calibri" w:hAnsi="Calibri"/>
          <w:b/>
          <w:bCs/>
          <w:color w:val="262626"/>
          <w:sz w:val="21"/>
          <w:szCs w:val="21"/>
        </w:rPr>
        <w:t xml:space="preserve">Talent retention:</w:t>
      </w:r>
      <w:r>
        <w:rPr>
          <w:rFonts w:ascii="Calibri" w:cs="Calibri" w:eastAsia="Calibri" w:hAnsi="Calibri"/>
          <w:color w:val="262626"/>
          <w:sz w:val="21"/>
          <w:szCs w:val="21"/>
        </w:rPr>
        <w:t xml:space="preserve"> A 13.0% voluntary attrition rate is described by the company as among the lowest in the industry, supporting delivery continuity and reducing re-hiring and re-training costs relative to higher-attrition peers.</w:t>
      </w:r>
    </w:p>
    <w:p>
      <w:pPr>
        <w:pStyle w:val="ListParagraph"/>
        <w:numPr>
          <w:ilvl w:val="0"/>
          <w:numId w:val="2"/>
        </w:numPr>
        <w:spacing w:after="100" w:line="264"/>
      </w:pPr>
      <w:r>
        <w:rPr>
          <w:rFonts w:ascii="Calibri" w:cs="Calibri" w:eastAsia="Calibri" w:hAnsi="Calibri"/>
          <w:b/>
          <w:bCs/>
          <w:color w:val="262626"/>
          <w:sz w:val="21"/>
          <w:szCs w:val="21"/>
        </w:rPr>
        <w:t xml:space="preserve">Shareholder value track record:</w:t>
      </w:r>
      <w:r>
        <w:rPr>
          <w:rFonts w:ascii="Calibri" w:cs="Calibri" w:eastAsia="Calibri" w:hAnsi="Calibri"/>
          <w:color w:val="262626"/>
          <w:sz w:val="21"/>
          <w:szCs w:val="21"/>
        </w:rPr>
        <w:t xml:space="preserve"> A 25-year cumulative TSR CAGR of 20.6% since IPO and a rising dividend payout ratio (93.5% in FY25) reflect sustained value creation and shareholder-friendly capital allocation.</w:t>
      </w:r>
    </w:p>
    <w:p>
      <w:pPr>
        <w:pStyle w:val="ListParagraph"/>
        <w:numPr>
          <w:ilvl w:val="0"/>
          <w:numId w:val="2"/>
        </w:numPr>
        <w:spacing w:after="100" w:line="264"/>
      </w:pPr>
      <w:r>
        <w:rPr>
          <w:rFonts w:ascii="Calibri" w:cs="Calibri" w:eastAsia="Calibri" w:hAnsi="Calibri"/>
          <w:b/>
          <w:bCs/>
          <w:color w:val="262626"/>
          <w:sz w:val="21"/>
          <w:szCs w:val="21"/>
        </w:rPr>
        <w:t xml:space="preserve">Early and broad AI platform investment:</w:t>
      </w:r>
      <w:r>
        <w:rPr>
          <w:rFonts w:ascii="Calibri" w:cs="Calibri" w:eastAsia="Calibri" w:hAnsi="Calibri"/>
          <w:color w:val="262626"/>
          <w:sz w:val="21"/>
          <w:szCs w:val="21"/>
        </w:rPr>
        <w:t xml:space="preserve"> Early investment in AI Force and AI Foundry, integration with multiple foundation-model providers (Azure OpenAI, GitHub Copilot, Amazon Bedrock, Google Gemini), and training over 106,000 employees in GenAI during FY25 position the company to participate in non-linear, AI-led growth rather than be disrupted by it.</w:t>
      </w:r>
    </w:p>
    <w:p>
      <w:pPr>
        <w:pStyle w:val="Heading2"/>
        <w:spacing w:after="150" w:before="300"/>
      </w:pPr>
      <w:r>
        <w:rPr>
          <w:rFonts w:ascii="Calibri" w:cs="Calibri" w:eastAsia="Calibri" w:hAnsi="Calibri"/>
          <w:b/>
          <w:bCs/>
          <w:color w:val="2E74B5"/>
          <w:sz w:val="25"/>
          <w:szCs w:val="25"/>
        </w:rPr>
        <w:t xml:space="preserve">8.2 Weaknesses</w:t>
      </w:r>
    </w:p>
    <w:p>
      <w:pPr>
        <w:pStyle w:val="ListParagraph"/>
        <w:numPr>
          <w:ilvl w:val="0"/>
          <w:numId w:val="2"/>
        </w:numPr>
        <w:spacing w:after="100" w:line="264"/>
      </w:pPr>
      <w:r>
        <w:rPr>
          <w:rFonts w:ascii="Calibri" w:cs="Calibri" w:eastAsia="Calibri" w:hAnsi="Calibri"/>
          <w:b/>
          <w:bCs/>
          <w:color w:val="262626"/>
          <w:sz w:val="21"/>
          <w:szCs w:val="21"/>
        </w:rPr>
        <w:t xml:space="preserve">Margin gap versus the segment leader:</w:t>
      </w:r>
      <w:r>
        <w:rPr>
          <w:rFonts w:ascii="Calibri" w:cs="Calibri" w:eastAsia="Calibri" w:hAnsi="Calibri"/>
          <w:color w:val="262626"/>
          <w:sz w:val="21"/>
          <w:szCs w:val="21"/>
        </w:rPr>
        <w:t xml:space="preserve"> At 18.3%, HCLTech's EBIT margin trails TCS (24.3%) and Infosys (21.1%) by a wide margin, indicating either less pricing power, a less favourable service mix, or higher relative delivery costs — the company's most persistent competitive gap.</w:t>
      </w:r>
    </w:p>
    <w:p>
      <w:pPr>
        <w:pStyle w:val="ListParagraph"/>
        <w:numPr>
          <w:ilvl w:val="0"/>
          <w:numId w:val="2"/>
        </w:numPr>
        <w:spacing w:after="100" w:line="264"/>
      </w:pPr>
      <w:r>
        <w:rPr>
          <w:rFonts w:ascii="Calibri" w:cs="Calibri" w:eastAsia="Calibri" w:hAnsi="Calibri"/>
          <w:b/>
          <w:bCs/>
          <w:color w:val="262626"/>
          <w:sz w:val="21"/>
          <w:szCs w:val="21"/>
        </w:rPr>
        <w:t xml:space="preserve">Geographic concentration:</w:t>
      </w:r>
      <w:r>
        <w:rPr>
          <w:rFonts w:ascii="Calibri" w:cs="Calibri" w:eastAsia="Calibri" w:hAnsi="Calibri"/>
          <w:color w:val="262626"/>
          <w:sz w:val="21"/>
          <w:szCs w:val="21"/>
        </w:rPr>
        <w:t xml:space="preserve"> The United States and Europe together account for approximately 85% of revenue, leaving the company more exposed than a more geographically balanced peer to US/European macroeconomic softness, currency volatility and trade-policy shifts — a dependency management itself flags as a strategic risk.</w:t>
      </w:r>
    </w:p>
    <w:p>
      <w:pPr>
        <w:pStyle w:val="ListParagraph"/>
        <w:numPr>
          <w:ilvl w:val="0"/>
          <w:numId w:val="2"/>
        </w:numPr>
        <w:spacing w:after="100" w:line="264"/>
      </w:pPr>
      <w:r>
        <w:rPr>
          <w:rFonts w:ascii="Calibri" w:cs="Calibri" w:eastAsia="Calibri" w:hAnsi="Calibri"/>
          <w:b/>
          <w:bCs/>
          <w:color w:val="262626"/>
          <w:sz w:val="21"/>
          <w:szCs w:val="21"/>
        </w:rPr>
        <w:t xml:space="preserve">Client concentration:</w:t>
      </w:r>
      <w:r>
        <w:rPr>
          <w:rFonts w:ascii="Calibri" w:cs="Calibri" w:eastAsia="Calibri" w:hAnsi="Calibri"/>
          <w:color w:val="262626"/>
          <w:sz w:val="21"/>
          <w:szCs w:val="21"/>
        </w:rPr>
        <w:t xml:space="preserve"> The top 20 clients contribute roughly 30% of revenue; while the company maintains this is a well-diversified base by industry standards, it remains a structural vulnerability common to the sector rather than a unique strength.</w:t>
      </w:r>
    </w:p>
    <w:p>
      <w:pPr>
        <w:pStyle w:val="ListParagraph"/>
        <w:numPr>
          <w:ilvl w:val="0"/>
          <w:numId w:val="2"/>
        </w:numPr>
        <w:spacing w:after="100" w:line="264"/>
      </w:pPr>
      <w:r>
        <w:rPr>
          <w:rFonts w:ascii="Calibri" w:cs="Calibri" w:eastAsia="Calibri" w:hAnsi="Calibri"/>
          <w:b/>
          <w:bCs/>
          <w:color w:val="262626"/>
          <w:sz w:val="21"/>
          <w:szCs w:val="21"/>
        </w:rPr>
        <w:t xml:space="preserve">Software segment growth deceleration:</w:t>
      </w:r>
      <w:r>
        <w:rPr>
          <w:rFonts w:ascii="Calibri" w:cs="Calibri" w:eastAsia="Calibri" w:hAnsi="Calibri"/>
          <w:color w:val="262626"/>
          <w:sz w:val="21"/>
          <w:szCs w:val="21"/>
        </w:rPr>
        <w:t xml:space="preserve"> HCLSoftware's ARR grew only 1.8% YoY in constant currency in FY25, a marked deceleration versus the segment's historical growth narrative, suggesting increased competitive intensity or market saturation in select software categories.</w:t>
      </w:r>
    </w:p>
    <w:p>
      <w:pPr>
        <w:pStyle w:val="ListParagraph"/>
        <w:numPr>
          <w:ilvl w:val="0"/>
          <w:numId w:val="2"/>
        </w:numPr>
        <w:spacing w:after="100" w:line="264"/>
      </w:pPr>
      <w:r>
        <w:rPr>
          <w:rFonts w:ascii="Calibri" w:cs="Calibri" w:eastAsia="Calibri" w:hAnsi="Calibri"/>
          <w:b/>
          <w:bCs/>
          <w:color w:val="262626"/>
          <w:sz w:val="21"/>
          <w:szCs w:val="21"/>
        </w:rPr>
        <w:t xml:space="preserve">Limited domestic market contribution:</w:t>
      </w:r>
      <w:r>
        <w:rPr>
          <w:rFonts w:ascii="Calibri" w:cs="Calibri" w:eastAsia="Calibri" w:hAnsi="Calibri"/>
          <w:color w:val="262626"/>
          <w:sz w:val="21"/>
          <w:szCs w:val="21"/>
        </w:rPr>
        <w:t xml:space="preserve"> India contributes only 3.1% of revenue and actually declined 3.9% YoY in FY25, underscoring that HCLTech, like its peers, remains fundamentally an export-services business with limited domestic-market diversification.</w:t>
      </w:r>
    </w:p>
    <w:p>
      <w:pPr>
        <w:pStyle w:val="Heading2"/>
        <w:spacing w:after="150" w:before="300"/>
      </w:pPr>
      <w:r>
        <w:rPr>
          <w:rFonts w:ascii="Calibri" w:cs="Calibri" w:eastAsia="Calibri" w:hAnsi="Calibri"/>
          <w:b/>
          <w:bCs/>
          <w:color w:val="2E74B5"/>
          <w:sz w:val="25"/>
          <w:szCs w:val="25"/>
        </w:rPr>
        <w:t xml:space="preserve">8.3 Opportunities</w:t>
      </w:r>
    </w:p>
    <w:p>
      <w:pPr>
        <w:pStyle w:val="ListParagraph"/>
        <w:numPr>
          <w:ilvl w:val="0"/>
          <w:numId w:val="2"/>
        </w:numPr>
        <w:spacing w:after="100" w:line="264"/>
      </w:pPr>
      <w:r>
        <w:rPr>
          <w:rFonts w:ascii="Calibri" w:cs="Calibri" w:eastAsia="Calibri" w:hAnsi="Calibri"/>
          <w:b/>
          <w:bCs/>
          <w:color w:val="262626"/>
          <w:sz w:val="21"/>
          <w:szCs w:val="21"/>
        </w:rPr>
        <w:t xml:space="preserve">Large addressable market in AI, cloud and cybersecurity:</w:t>
      </w:r>
      <w:r>
        <w:rPr>
          <w:rFonts w:ascii="Calibri" w:cs="Calibri" w:eastAsia="Calibri" w:hAnsi="Calibri"/>
          <w:color w:val="262626"/>
          <w:sz w:val="21"/>
          <w:szCs w:val="21"/>
        </w:rPr>
        <w:t xml:space="preserve"> Management estimates a combined addressable opportunity exceeding US$1.5 trillion in enterprise IT services by 2028 (4.9% CAGR), with Data &amp; AI services alone reaching US$150–170 billion (high-teens CAGR) — a substantial multi-year demand pool for a company already investing early in AI capability.</w:t>
      </w:r>
    </w:p>
    <w:p>
      <w:pPr>
        <w:pStyle w:val="ListParagraph"/>
        <w:numPr>
          <w:ilvl w:val="0"/>
          <w:numId w:val="2"/>
        </w:numPr>
        <w:spacing w:after="100" w:line="264"/>
      </w:pPr>
      <w:r>
        <w:rPr>
          <w:rFonts w:ascii="Calibri" w:cs="Calibri" w:eastAsia="Calibri" w:hAnsi="Calibri"/>
          <w:b/>
          <w:bCs/>
          <w:color w:val="262626"/>
          <w:sz w:val="21"/>
          <w:szCs w:val="21"/>
        </w:rPr>
        <w:t xml:space="preserve">Public sector expansion in the US:</w:t>
      </w:r>
      <w:r>
        <w:rPr>
          <w:rFonts w:ascii="Calibri" w:cs="Calibri" w:eastAsia="Calibri" w:hAnsi="Calibri"/>
          <w:color w:val="262626"/>
          <w:sz w:val="21"/>
          <w:szCs w:val="21"/>
        </w:rPr>
        <w:t xml:space="preserve"> HCLTech's public-sector subsidiary (HCLTech Public Sector Solutions) targets US state, local, education and federal civilian/defense agencies — a historically underpenetrated, high-barrier-to-entry segment offering long-duration, less cyclical contracts.</w:t>
      </w:r>
    </w:p>
    <w:p>
      <w:pPr>
        <w:pStyle w:val="ListParagraph"/>
        <w:numPr>
          <w:ilvl w:val="0"/>
          <w:numId w:val="2"/>
        </w:numPr>
        <w:spacing w:after="100" w:line="264"/>
      </w:pPr>
      <w:r>
        <w:rPr>
          <w:rFonts w:ascii="Calibri" w:cs="Calibri" w:eastAsia="Calibri" w:hAnsi="Calibri"/>
          <w:b/>
          <w:bCs/>
          <w:color w:val="262626"/>
          <w:sz w:val="21"/>
          <w:szCs w:val="21"/>
        </w:rPr>
        <w:t xml:space="preserve">Consolidation opportunity in engineering services:</w:t>
      </w:r>
      <w:r>
        <w:rPr>
          <w:rFonts w:ascii="Calibri" w:cs="Calibri" w:eastAsia="Calibri" w:hAnsi="Calibri"/>
          <w:color w:val="262626"/>
          <w:sz w:val="21"/>
          <w:szCs w:val="21"/>
        </w:rPr>
        <w:t xml:space="preserve"> The projected US$175 billion engineering services market by 2028, combined with the newly acquired HPE CTG telecom-engineering assets, gives HCLTech a platform to consolidate share in a market Tech Mahindra is simultaneously rebuilding around, and where TCS and Infosys are comparatively less specialised.</w:t>
      </w:r>
    </w:p>
    <w:p>
      <w:pPr>
        <w:pStyle w:val="ListParagraph"/>
        <w:numPr>
          <w:ilvl w:val="0"/>
          <w:numId w:val="2"/>
        </w:numPr>
        <w:spacing w:after="100" w:line="264"/>
      </w:pPr>
      <w:r>
        <w:rPr>
          <w:rFonts w:ascii="Calibri" w:cs="Calibri" w:eastAsia="Calibri" w:hAnsi="Calibri"/>
          <w:b/>
          <w:bCs/>
          <w:color w:val="262626"/>
          <w:sz w:val="21"/>
          <w:szCs w:val="21"/>
        </w:rPr>
        <w:t xml:space="preserve">Vertical concentration in high-growth segments:</w:t>
      </w:r>
      <w:r>
        <w:rPr>
          <w:rFonts w:ascii="Calibri" w:cs="Calibri" w:eastAsia="Calibri" w:hAnsi="Calibri"/>
          <w:color w:val="262626"/>
          <w:sz w:val="21"/>
          <w:szCs w:val="21"/>
        </w:rPr>
        <w:t xml:space="preserve"> With BFSI and TMT representing over 40% of the addressable services market and expected to grow at or above overall market rates through 2028, HCLTech's stated growth-vector focus on these two verticals aligns directly with where industry demand is concentrating.</w:t>
      </w:r>
    </w:p>
    <w:p>
      <w:pPr>
        <w:pStyle w:val="ListParagraph"/>
        <w:numPr>
          <w:ilvl w:val="0"/>
          <w:numId w:val="2"/>
        </w:numPr>
        <w:spacing w:after="100" w:line="264"/>
      </w:pPr>
      <w:r>
        <w:rPr>
          <w:rFonts w:ascii="Calibri" w:cs="Calibri" w:eastAsia="Calibri" w:hAnsi="Calibri"/>
          <w:b/>
          <w:bCs/>
          <w:color w:val="262626"/>
          <w:sz w:val="21"/>
          <w:szCs w:val="21"/>
        </w:rPr>
        <w:t xml:space="preserve">Margin expansion through Project Ascend:</w:t>
      </w:r>
      <w:r>
        <w:rPr>
          <w:rFonts w:ascii="Calibri" w:cs="Calibri" w:eastAsia="Calibri" w:hAnsi="Calibri"/>
          <w:color w:val="262626"/>
          <w:sz w:val="21"/>
          <w:szCs w:val="21"/>
        </w:rPr>
        <w:t xml:space="preserve"> Project Ascend explicitly targets cost-structure and workforce efficiency; successful execution could narrow the operating-margin gap to TCS and Infosys identified as HCLTech's key weakness in Section 8.2.</w:t>
      </w:r>
    </w:p>
    <w:p>
      <w:pPr>
        <w:pStyle w:val="Heading2"/>
        <w:spacing w:after="150" w:before="300"/>
      </w:pPr>
      <w:r>
        <w:rPr>
          <w:rFonts w:ascii="Calibri" w:cs="Calibri" w:eastAsia="Calibri" w:hAnsi="Calibri"/>
          <w:b/>
          <w:bCs/>
          <w:color w:val="2E74B5"/>
          <w:sz w:val="25"/>
          <w:szCs w:val="25"/>
        </w:rPr>
        <w:t xml:space="preserve">8.4 Threats</w:t>
      </w:r>
    </w:p>
    <w:p>
      <w:pPr>
        <w:pStyle w:val="ListParagraph"/>
        <w:numPr>
          <w:ilvl w:val="0"/>
          <w:numId w:val="2"/>
        </w:numPr>
        <w:spacing w:after="100" w:line="264"/>
      </w:pPr>
      <w:r>
        <w:rPr>
          <w:rFonts w:ascii="Calibri" w:cs="Calibri" w:eastAsia="Calibri" w:hAnsi="Calibri"/>
          <w:b/>
          <w:bCs/>
          <w:color w:val="262626"/>
          <w:sz w:val="21"/>
          <w:szCs w:val="21"/>
        </w:rPr>
        <w:t xml:space="preserve">Intensifying competition, including from GCCs:</w:t>
      </w:r>
      <w:r>
        <w:rPr>
          <w:rFonts w:ascii="Calibri" w:cs="Calibri" w:eastAsia="Calibri" w:hAnsi="Calibri"/>
          <w:color w:val="262626"/>
          <w:sz w:val="21"/>
          <w:szCs w:val="21"/>
        </w:rPr>
        <w:t xml:space="preserve"> Management itself identifies fierce competition not only from other IT services majors but increasingly from management consultancies, boutique advisory firms and, most significantly, Global Capability Centers (GCCs) — enterprise clients' own in-house delivery centers — as a principal risk to client retention, market share and wallet share.</w:t>
      </w:r>
    </w:p>
    <w:p>
      <w:pPr>
        <w:pStyle w:val="ListParagraph"/>
        <w:numPr>
          <w:ilvl w:val="0"/>
          <w:numId w:val="2"/>
        </w:numPr>
        <w:spacing w:after="100" w:line="264"/>
      </w:pPr>
      <w:r>
        <w:rPr>
          <w:rFonts w:ascii="Calibri" w:cs="Calibri" w:eastAsia="Calibri" w:hAnsi="Calibri"/>
          <w:b/>
          <w:bCs/>
          <w:color w:val="262626"/>
          <w:sz w:val="21"/>
          <w:szCs w:val="21"/>
        </w:rPr>
        <w:t xml:space="preserve">AI-driven disintermediation of the traditional services model:</w:t>
      </w:r>
      <w:r>
        <w:rPr>
          <w:rFonts w:ascii="Calibri" w:cs="Calibri" w:eastAsia="Calibri" w:hAnsi="Calibri"/>
          <w:color w:val="262626"/>
          <w:sz w:val="21"/>
          <w:szCs w:val="21"/>
        </w:rPr>
        <w:t xml:space="preserve"> The company acknowledges that GenAI threatens the traditional headcount-linked services revenue model, while clients simultaneously build their own AI capabilities in-house, potentially reducing demand for external professional services even as HCLTech invests to counter this exact risk.</w:t>
      </w:r>
    </w:p>
    <w:p>
      <w:pPr>
        <w:pStyle w:val="ListParagraph"/>
        <w:numPr>
          <w:ilvl w:val="0"/>
          <w:numId w:val="2"/>
        </w:numPr>
        <w:spacing w:after="100" w:line="264"/>
      </w:pPr>
      <w:r>
        <w:rPr>
          <w:rFonts w:ascii="Calibri" w:cs="Calibri" w:eastAsia="Calibri" w:hAnsi="Calibri"/>
          <w:b/>
          <w:bCs/>
          <w:color w:val="262626"/>
          <w:sz w:val="21"/>
          <w:szCs w:val="21"/>
        </w:rPr>
        <w:t xml:space="preserve">Macroeconomic and geopolitical uncertainty:</w:t>
      </w:r>
      <w:r>
        <w:rPr>
          <w:rFonts w:ascii="Calibri" w:cs="Calibri" w:eastAsia="Calibri" w:hAnsi="Calibri"/>
          <w:color w:val="262626"/>
          <w:sz w:val="21"/>
          <w:szCs w:val="21"/>
        </w:rPr>
        <w:t xml:space="preserve"> Management explicitly cautions that near-term technology-sector demand may be constrained by uncertain macroeconomic and geopolitical conditions, including global trade-framework uncertainty — a risk shared across the entire IT services peer group but amplified by HCLTech's heavy US/Europe revenue skew.</w:t>
      </w:r>
    </w:p>
    <w:p>
      <w:pPr>
        <w:pStyle w:val="ListParagraph"/>
        <w:numPr>
          <w:ilvl w:val="0"/>
          <w:numId w:val="2"/>
        </w:numPr>
        <w:spacing w:after="100" w:line="264"/>
      </w:pPr>
      <w:r>
        <w:rPr>
          <w:rFonts w:ascii="Calibri" w:cs="Calibri" w:eastAsia="Calibri" w:hAnsi="Calibri"/>
          <w:b/>
          <w:bCs/>
          <w:color w:val="262626"/>
          <w:sz w:val="21"/>
          <w:szCs w:val="21"/>
        </w:rPr>
        <w:t xml:space="preserve">Shrinking deal sizes and shorter contract tenures:</w:t>
      </w:r>
      <w:r>
        <w:rPr>
          <w:rFonts w:ascii="Calibri" w:cs="Calibri" w:eastAsia="Calibri" w:hAnsi="Calibri"/>
          <w:color w:val="262626"/>
          <w:sz w:val="21"/>
          <w:szCs w:val="21"/>
        </w:rPr>
        <w:t xml:space="preserve"> Deal sizes are trending smaller with shorter tenures industry-wide, requiring HCLTech (and peers) to win a higher volume of small-to-mid-sized deals to sustain growth, raising sales and delivery-execution costs per dollar of revenue.</w:t>
      </w:r>
    </w:p>
    <w:p>
      <w:pPr>
        <w:pStyle w:val="ListParagraph"/>
        <w:numPr>
          <w:ilvl w:val="0"/>
          <w:numId w:val="2"/>
        </w:numPr>
        <w:spacing w:after="100" w:line="264"/>
      </w:pPr>
      <w:r>
        <w:rPr>
          <w:rFonts w:ascii="Calibri" w:cs="Calibri" w:eastAsia="Calibri" w:hAnsi="Calibri"/>
          <w:b/>
          <w:bCs/>
          <w:color w:val="262626"/>
          <w:sz w:val="21"/>
          <w:szCs w:val="21"/>
        </w:rPr>
        <w:t xml:space="preserve">AI talent scarcity and cost inflation:</w:t>
      </w:r>
      <w:r>
        <w:rPr>
          <w:rFonts w:ascii="Calibri" w:cs="Calibri" w:eastAsia="Calibri" w:hAnsi="Calibri"/>
          <w:color w:val="262626"/>
          <w:sz w:val="21"/>
          <w:szCs w:val="21"/>
        </w:rPr>
        <w:t xml:space="preserve"> Rising demand for AI-skilled talent, coupled with the cost of retaining specialised AI subject-matter experts, could pressure margins across the industry, including at HCLTech, even as automation offsets some traditional headcount needs elsewhere.</w:t>
      </w:r>
    </w:p>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9. Strategic Positioning Summary</w:t>
      </w:r>
    </w:p>
    <w:p>
      <w:pPr>
        <w:spacing w:after="160" w:line="276"/>
        <w:jc w:val="both"/>
      </w:pPr>
      <w:r>
        <w:rPr>
          <w:rFonts w:ascii="Calibri" w:cs="Calibri" w:eastAsia="Calibri" w:hAnsi="Calibri"/>
          <w:color w:val="262626"/>
          <w:sz w:val="21"/>
          <w:szCs w:val="21"/>
        </w:rPr>
        <w:t xml:space="preserve">Within the Indian IT services peer set, HCLTech occupies a distinctive middle position: it is smaller than TCS and Infosys in absolute scale and trails both on operating margin, but it is out-growing them — along with Wipro and Tech Mahindra — on a constant-currency basis, and it carries a materially more diversified, higher-margin software business than Wipro or Tech Mahindra. Against global peers Cognizant and Accenture, HCLTech is closer in scale to Cognizant, with a comparable or modestly lower margin profile, while Accenture operates at a different order of magnitude driven by its consulting-led model.</w:t>
      </w:r>
    </w:p>
    <w:p>
      <w:pPr>
        <w:spacing w:after="160" w:line="276"/>
        <w:jc w:val="both"/>
      </w:pPr>
      <w:r>
        <w:rPr>
          <w:rFonts w:ascii="Calibri" w:cs="Calibri" w:eastAsia="Calibri" w:hAnsi="Calibri"/>
          <w:color w:val="262626"/>
          <w:sz w:val="21"/>
          <w:szCs w:val="21"/>
        </w:rPr>
        <w:t xml:space="preserve">HCLTech's core competitive proposition rests on three pillars that this analysis finds genuinely differentiated relative to the peer set: (i) an engineering and R&amp;D services franchise reinforced by the FY25 HPE CTG acquisition; (ii) a scaled, profitable enterprise software business (HCLSoftware) that most peers other than Infosys and Wipro cannot match; and (iii) demonstrably faster top-line growth than TCS, Infosys, Wipro and Tech Mahindra for three consecutive years. The company's central strategic challenge is converting this growth advantage into margin parity with the segment leader, a gap Project Ascend and the 12 growth vectors are explicitly designed to close.</w:t>
      </w:r>
    </w:p>
    <w:p>
      <w:pPr>
        <w:spacing w:after="160" w:line="276"/>
        <w:jc w:val="both"/>
      </w:pPr>
      <w:r>
        <w:rPr>
          <w:rFonts w:ascii="Calibri" w:cs="Calibri" w:eastAsia="Calibri" w:hAnsi="Calibri"/>
          <w:i w:val="false"/>
          <w:iCs w:val="false"/>
          <w:color w:val="262626"/>
          <w:sz w:val="21"/>
          <w:szCs w:val="21"/>
        </w:rPr>
        <w:t xml:space="preserve">The single largest external variable affecting HCLTech's competitive position over the next two to three years — as it is for every company in this peer set — is the pace and shape of enterprise AI adoption: whether GenAI primarily compresses services demand (a threat to the entire industry's headcount-linked revenue model) or expands the addressable market for AI-led transformation work (an opportunity HCLTech has invested early to capture through AI Force, AI Foundry and its AI Labs network).</w:t>
      </w:r>
    </w:p>
    <w:p>
      <w:pPr>
        <w:pStyle w:val="Heading1"/>
        <w:pBdr>
          <w:bottom w:val="single" w:color="1F3864" w:sz="8" w:space="4"/>
        </w:pBdr>
        <w:spacing w:after="200" w:before="400"/>
      </w:pPr>
      <w:r>
        <w:rPr>
          <w:rFonts w:ascii="Calibri" w:cs="Calibri" w:eastAsia="Calibri" w:hAnsi="Calibri"/>
          <w:b/>
          <w:bCs/>
          <w:color w:val="1F3864"/>
          <w:sz w:val="30"/>
          <w:szCs w:val="30"/>
        </w:rPr>
        <w:t xml:space="preserve">10. Conclusion</w:t>
      </w:r>
    </w:p>
    <w:p>
      <w:pPr>
        <w:spacing w:after="160" w:line="276"/>
        <w:jc w:val="both"/>
      </w:pPr>
      <w:r>
        <w:rPr>
          <w:rFonts w:ascii="Calibri" w:cs="Calibri" w:eastAsia="Calibri" w:hAnsi="Calibri"/>
          <w:color w:val="262626"/>
          <w:sz w:val="21"/>
          <w:szCs w:val="21"/>
        </w:rPr>
        <w:t xml:space="preserve">HCLTech delivered a resilient, above-peer-average FY2024-25, combining industry-leading growth among its closest Indian competitors with a diversified, increasingly software- and engineering-weighted business mix. Its principal strategic vulnerability remains the operating-margin gap to TCS and, to a lesser extent, Infosys — a gap the company is actively addressing through Project Ascend and its 12 growth vectors. Its principal external risks — AI-driven disruption of the traditional services model, intensifying competition from GCCs and global consultancies, and geopolitical/macroeconomic uncertainty concentrated in its dominant US and European markets — are shared, in varying degrees, across the entire competitive set analysed in this report, rather than being unique to HCLTech.</w:t>
      </w:r>
    </w:p>
    <w:p>
      <w:pPr>
        <w:spacing w:after="160" w:line="276"/>
        <w:jc w:val="both"/>
      </w:pPr>
      <w:r>
        <w:rPr>
          <w:rFonts w:ascii="Calibri" w:cs="Calibri" w:eastAsia="Calibri" w:hAnsi="Calibri"/>
          <w:color w:val="262626"/>
          <w:sz w:val="21"/>
          <w:szCs w:val="21"/>
        </w:rPr>
        <w:t xml:space="preserve">For decision-makers using this analysis, the recommended areas for ongoing monitoring are: (1) quarterly EBIT margin trajectory as a proxy for Project Ascend's effectiveness; (2) HCLSoftware ARR growth rate, given its FY25 deceleration to 1.8% CC; (3) net new deal TCV and deal-size trends, given the industry-wide shift toward smaller, shorter-tenure contracts; and (4) the pace of GenAI-related bookings disclosed by Accenture and other global peers as a leading indicator of how quickly the addressable market is shifting toward AI-native delivery models.</w:t>
      </w:r>
    </w:p>
    <w:p>
      <w:pPr>
        <w:pStyle w:val="Heading1"/>
        <w:pBdr>
          <w:bottom w:val="single" w:color="1F3864" w:sz="8" w:space="4"/>
        </w:pBdr>
        <w:spacing w:after="200" w:before="400"/>
      </w:pPr>
      <w:r>
        <w:rPr>
          <w:rFonts w:ascii="Calibri" w:cs="Calibri" w:eastAsia="Calibri" w:hAnsi="Calibri"/>
          <w:b/>
          <w:bCs/>
          <w:color w:val="1F3864"/>
          <w:sz w:val="30"/>
          <w:szCs w:val="30"/>
        </w:rPr>
        <w:t xml:space="preserve">Sources</w:t>
      </w:r>
    </w:p>
    <w:p>
      <w:pPr>
        <w:spacing w:after="160" w:line="276"/>
        <w:jc w:val="both"/>
      </w:pPr>
      <w:r>
        <w:rPr>
          <w:rFonts w:ascii="Calibri" w:cs="Calibri" w:eastAsia="Calibri" w:hAnsi="Calibri"/>
          <w:i/>
          <w:iCs/>
          <w:color w:val="262626"/>
          <w:sz w:val="19"/>
          <w:szCs w:val="19"/>
        </w:rPr>
        <w:t xml:space="preserve">HCLTech Annual Report 2024-25 (Corporate Overview, Management Discussion and Analysis, and Financial Statements sections). Peer financial data drawn from company results press releases and SEC/regulatory filings: TCS (Q4/FY25 Fact Sheet, April 2025); Infosys (FY25 results press release, April 2025); Wipro (Q4/FY25 results, April 2025); Tech Mahindra (Q4/FY25 results, April 2025); LTIMindtree (Q4/FY25 results, April 2025); Cognizant (Q2 2025 results and FY2025 guidance, 2025); Accenture (Q4/FY25 results, September 2025). Competitive-analysis framework adapted from Semrush, "What is competitive analysis? How to do one (+ template)" (semrush.com/blog/competitive-analysis, 2026).</w:t>
      </w:r>
    </w:p>
    <w:p>
      <w:r>
        <w:br w:type="page"/>
      </w:r>
    </w:p>
    <w:p>
      <w:pPr>
        <w:pStyle w:val="Heading1"/>
        <w:pBdr>
          <w:bottom w:val="single" w:color="1F3864" w:sz="8" w:space="4"/>
        </w:pBdr>
        <w:spacing w:after="200" w:before="400"/>
      </w:pPr>
      <w:r>
        <w:rPr>
          <w:rFonts w:ascii="Calibri" w:cs="Calibri" w:eastAsia="Calibri" w:hAnsi="Calibri"/>
          <w:b/>
          <w:bCs/>
          <w:color w:val="1F3864"/>
          <w:sz w:val="30"/>
          <w:szCs w:val="30"/>
        </w:rPr>
        <w:t xml:space="preserve">Appendix A: Original Request and Analyst Response Record</w:t>
      </w:r>
    </w:p>
    <w:p>
      <w:pPr>
        <w:spacing w:after="160" w:line="276"/>
        <w:jc w:val="both"/>
      </w:pPr>
      <w:r>
        <w:rPr>
          <w:rFonts w:ascii="Calibri" w:cs="Calibri" w:eastAsia="Calibri" w:hAnsi="Calibri"/>
          <w:color w:val="262626"/>
          <w:sz w:val="21"/>
          <w:szCs w:val="21"/>
        </w:rPr>
        <w:t xml:space="preserve">This appendix records the brief given for this analysis and a summary of the response delivered, for internal reference and audit trail purposes.</w:t>
      </w:r>
    </w:p>
    <w:p>
      <w:pPr>
        <w:pStyle w:val="Heading2"/>
        <w:spacing w:after="150" w:before="300"/>
      </w:pPr>
      <w:r>
        <w:rPr>
          <w:rFonts w:ascii="Calibri" w:cs="Calibri" w:eastAsia="Calibri" w:hAnsi="Calibri"/>
          <w:b/>
          <w:bCs/>
          <w:color w:val="2E74B5"/>
          <w:sz w:val="25"/>
          <w:szCs w:val="25"/>
        </w:rPr>
        <w:t xml:space="preserve">Request (as submitted)</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DCE6F1" w:val="clear"/>
            <w:tcMar>
              <w:top w:type="dxa" w:w="160"/>
              <w:left w:type="dxa" w:w="200"/>
              <w:bottom w:type="dxa" w:w="160"/>
              <w:right w:type="dxa" w:w="200"/>
            </w:tcMar>
          </w:tcPr>
          <w:p>
            <w:pPr>
              <w:spacing w:after="100"/>
            </w:pPr>
            <w:r>
              <w:rPr>
                <w:rFonts w:ascii="Calibri" w:cs="Calibri" w:eastAsia="Calibri" w:hAnsi="Calibri"/>
                <w:b/>
                <w:bCs/>
                <w:i/>
                <w:iCs/>
                <w:color w:val="595959"/>
                <w:sz w:val="19"/>
                <w:szCs w:val="19"/>
              </w:rPr>
              <w:t xml:space="preserve">Prompt</w:t>
            </w:r>
          </w:p>
          <w:p>
            <w:pPr>
              <w:spacing w:line="276"/>
            </w:pPr>
            <w:r>
              <w:rPr>
                <w:rFonts w:ascii="Calibri" w:cs="Calibri" w:eastAsia="Calibri" w:hAnsi="Calibri"/>
                <w:i/>
                <w:iCs/>
                <w:color w:val="262626"/>
                <w:sz w:val="21"/>
                <w:szCs w:val="21"/>
              </w:rPr>
              <w:t xml:space="preserve">Act as the Senior Business Analyst of a tech company and analyze the annual report of HCL Tech and conduct a competitor analysis. I want a detailed analysis of the strategies, strengths, and weaknesses of the company to get a clearer picture of its performance and position in the industry.</w:t>
            </w:r>
          </w:p>
        </w:tc>
      </w:tr>
    </w:tbl>
    <w:p>
      <w:pPr>
        <w:pStyle w:val="Heading2"/>
        <w:spacing w:after="150" w:before="300"/>
      </w:pPr>
      <w:r>
        <w:rPr>
          <w:rFonts w:ascii="Calibri" w:cs="Calibri" w:eastAsia="Calibri" w:hAnsi="Calibri"/>
          <w:b/>
          <w:bCs/>
          <w:color w:val="2E74B5"/>
          <w:sz w:val="25"/>
          <w:szCs w:val="25"/>
        </w:rPr>
        <w:t xml:space="preserve">Response (summary of analysis delivered)</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dxa" w:w="9350"/>
            <w:shd w:fill="F2F2F2" w:val="clear"/>
            <w:tcMar>
              <w:top w:type="dxa" w:w="160"/>
              <w:left w:type="dxa" w:w="200"/>
              <w:bottom w:type="dxa" w:w="160"/>
              <w:right w:type="dxa" w:w="200"/>
            </w:tcMar>
          </w:tcPr>
          <w:p>
            <w:pPr>
              <w:spacing w:after="100"/>
            </w:pPr>
            <w:r>
              <w:rPr>
                <w:rFonts w:ascii="Calibri" w:cs="Calibri" w:eastAsia="Calibri" w:hAnsi="Calibri"/>
                <w:b/>
                <w:bCs/>
                <w:i/>
                <w:iCs/>
                <w:color w:val="595959"/>
                <w:sz w:val="19"/>
                <w:szCs w:val="19"/>
              </w:rPr>
              <w:t xml:space="preserve">Analyst response</w:t>
            </w:r>
          </w:p>
          <w:p>
            <w:pPr>
              <w:spacing w:after="120" w:line="264"/>
            </w:pPr>
            <w:r>
              <w:rPr>
                <w:rFonts w:ascii="Calibri" w:cs="Calibri" w:eastAsia="Calibri" w:hAnsi="Calibri"/>
                <w:color w:val="262626"/>
                <w:sz w:val="21"/>
                <w:szCs w:val="21"/>
              </w:rPr>
              <w:t xml:space="preserve">Reviewed HCLTech's Annual Report 2024-25 (423 pages) and built a full strategic and competitive analysis covering:</w:t>
            </w:r>
          </w:p>
          <w:p>
            <w:pPr>
              <w:pStyle w:val="ListParagraph"/>
              <w:numPr>
                <w:ilvl w:val="0"/>
                <w:numId w:val="2"/>
              </w:numPr>
              <w:spacing w:after="100" w:line="264"/>
            </w:pPr>
            <w:r>
              <w:rPr>
                <w:rFonts w:ascii="Calibri" w:cs="Calibri" w:eastAsia="Calibri" w:hAnsi="Calibri"/>
                <w:color w:val="262626"/>
                <w:sz w:val="21"/>
                <w:szCs w:val="21"/>
              </w:rPr>
              <w:t xml:space="preserve">Company overview — three-segment structure (ITBS, ERS, HCLSoftware), geographic and client mix.</w:t>
            </w:r>
          </w:p>
          <w:p>
            <w:pPr>
              <w:pStyle w:val="ListParagraph"/>
              <w:numPr>
                <w:ilvl w:val="0"/>
                <w:numId w:val="2"/>
              </w:numPr>
              <w:spacing w:after="100" w:line="264"/>
            </w:pPr>
            <w:r>
              <w:rPr>
                <w:rFonts w:ascii="Calibri" w:cs="Calibri" w:eastAsia="Calibri" w:hAnsi="Calibri"/>
                <w:color w:val="262626"/>
                <w:sz w:val="21"/>
                <w:szCs w:val="21"/>
              </w:rPr>
              <w:t xml:space="preserve">FY2024-25 financial performance — revenue, EBIT margin, PAT, ROIC, five-year trend, and key FY25 portfolio actions (HPE CTG and Zeenea acquisitions, Project Ascend, HCLTech Public Sector Solutions).</w:t>
            </w:r>
          </w:p>
          <w:p>
            <w:pPr>
              <w:pStyle w:val="ListParagraph"/>
              <w:numPr>
                <w:ilvl w:val="0"/>
                <w:numId w:val="2"/>
              </w:numPr>
              <w:spacing w:after="100" w:line="264"/>
            </w:pPr>
            <w:r>
              <w:rPr>
                <w:rFonts w:ascii="Calibri" w:cs="Calibri" w:eastAsia="Calibri" w:hAnsi="Calibri"/>
                <w:color w:val="262626"/>
                <w:sz w:val="21"/>
                <w:szCs w:val="21"/>
              </w:rPr>
              <w:t xml:space="preserve">Business strategy — the five medium-term strategic objectives, 12 growth vectors, and AI/non-linear growth positioning (AI Force, AI Foundry).</w:t>
            </w:r>
          </w:p>
          <w:p>
            <w:pPr>
              <w:pStyle w:val="ListParagraph"/>
              <w:numPr>
                <w:ilvl w:val="0"/>
                <w:numId w:val="2"/>
              </w:numPr>
              <w:spacing w:after="100" w:line="264"/>
            </w:pPr>
            <w:r>
              <w:rPr>
                <w:rFonts w:ascii="Calibri" w:cs="Calibri" w:eastAsia="Calibri" w:hAnsi="Calibri"/>
                <w:color w:val="262626"/>
                <w:sz w:val="21"/>
                <w:szCs w:val="21"/>
              </w:rPr>
              <w:t xml:space="preserve">Competitor identification — direct peers (TCS, Infosys, Wipro, Tech Mahindra, LTIMindtree), indirect/global peers (Cognizant, Capgemini) and an aspirational peer (Accenture).</w:t>
            </w:r>
          </w:p>
          <w:p>
            <w:pPr>
              <w:pStyle w:val="ListParagraph"/>
              <w:numPr>
                <w:ilvl w:val="0"/>
                <w:numId w:val="2"/>
              </w:numPr>
              <w:spacing w:after="100" w:line="264"/>
            </w:pPr>
            <w:r>
              <w:rPr>
                <w:rFonts w:ascii="Calibri" w:cs="Calibri" w:eastAsia="Calibri" w:hAnsi="Calibri"/>
                <w:color w:val="262626"/>
                <w:sz w:val="21"/>
                <w:szCs w:val="21"/>
              </w:rPr>
              <w:t xml:space="preserve">Financial benchmarking table — FY25 revenue, growth, margin, profit and headcount across all seven named peers.</w:t>
            </w:r>
          </w:p>
          <w:p>
            <w:pPr>
              <w:pStyle w:val="ListParagraph"/>
              <w:numPr>
                <w:ilvl w:val="0"/>
                <w:numId w:val="2"/>
              </w:numPr>
              <w:spacing w:after="100" w:line="264"/>
            </w:pPr>
            <w:r>
              <w:rPr>
                <w:rFonts w:ascii="Calibri" w:cs="Calibri" w:eastAsia="Calibri" w:hAnsi="Calibri"/>
                <w:color w:val="262626"/>
                <w:sz w:val="21"/>
                <w:szCs w:val="21"/>
              </w:rPr>
              <w:t xml:space="preserve">Strategy and portfolio benchmarking table — positioning and differentiation versus each peer.</w:t>
            </w:r>
          </w:p>
          <w:p>
            <w:pPr>
              <w:pStyle w:val="ListParagraph"/>
              <w:numPr>
                <w:ilvl w:val="0"/>
                <w:numId w:val="2"/>
              </w:numPr>
              <w:spacing w:after="100" w:line="264"/>
            </w:pPr>
            <w:r>
              <w:rPr>
                <w:rFonts w:ascii="Calibri" w:cs="Calibri" w:eastAsia="Calibri" w:hAnsi="Calibri"/>
                <w:color w:val="262626"/>
                <w:sz w:val="21"/>
                <w:szCs w:val="21"/>
              </w:rPr>
              <w:t xml:space="preserve">Full SWOT — strengths, weaknesses, opportunities and threats, grounded in the company's own risk-register disclosures where relevant (e.g., competition from GCCs, AI disruption risk).</w:t>
            </w:r>
          </w:p>
          <w:p>
            <w:pPr>
              <w:pStyle w:val="ListParagraph"/>
              <w:numPr>
                <w:ilvl w:val="0"/>
                <w:numId w:val="2"/>
              </w:numPr>
              <w:spacing w:after="100" w:line="264"/>
            </w:pPr>
            <w:r>
              <w:rPr>
                <w:rFonts w:ascii="Calibri" w:cs="Calibri" w:eastAsia="Calibri" w:hAnsi="Calibri"/>
                <w:color w:val="262626"/>
                <w:sz w:val="21"/>
                <w:szCs w:val="21"/>
              </w:rPr>
              <w:t xml:space="preserve">Strategic positioning summary and conclusion, with four recommended metrics to monitor going forward.</w:t>
            </w:r>
          </w:p>
          <w:p>
            <w:pPr>
              <w:spacing w:before="100" w:line="264"/>
            </w:pPr>
            <w:r>
              <w:rPr>
                <w:rFonts w:ascii="Calibri" w:cs="Calibri" w:eastAsia="Calibri" w:hAnsi="Calibri"/>
                <w:i/>
                <w:iCs/>
                <w:color w:val="595959"/>
                <w:sz w:val="21"/>
                <w:szCs w:val="21"/>
              </w:rPr>
              <w:t xml:space="preserve">Full detail for each of the above is provided in Sections 1–10 of this report.</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95959"/>
        <w:sz w:val="15"/>
        <w:szCs w:val="15"/>
      </w:rPr>
      <w:t xml:space="preserve">Page </w:t>
    </w:r>
    <w:r>
      <w:rPr>
        <w:rFonts w:ascii="Calibri" w:cs="Calibri" w:eastAsia="Calibri" w:hAnsi="Calibri"/>
        <w:color w:val="595959"/>
        <w:sz w:val="15"/>
        <w:szCs w:val="15"/>
      </w:rPr>
      <w:fldChar w:fldCharType="begin"/>
      <w:instrText xml:space="preserve">PAGE</w:instrText>
      <w:fldChar w:fldCharType="separate"/>
      <w:fldChar w:fldCharType="end"/>
    </w:r>
    <w:r>
      <w:rPr>
        <w:rFonts w:ascii="Calibri" w:cs="Calibri" w:eastAsia="Calibri" w:hAnsi="Calibri"/>
        <w:color w:val="595959"/>
        <w:sz w:val="15"/>
        <w:szCs w:val="15"/>
      </w:rPr>
      <w:t xml:space="preserve"> of </w:t>
    </w:r>
    <w:r>
      <w:rPr>
        <w:rFonts w:ascii="Calibri" w:cs="Calibri" w:eastAsia="Calibri" w:hAnsi="Calibri"/>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jc w:val="right"/>
    </w:pPr>
    <w:r>
      <w:rPr>
        <w:rFonts w:ascii="Calibri" w:cs="Calibri" w:eastAsia="Calibri" w:hAnsi="Calibri"/>
        <w:color w:val="595959"/>
        <w:sz w:val="15"/>
        <w:szCs w:val="15"/>
      </w:rPr>
      <w:t xml:space="preserve">HCLTech — Strategic &amp; Competitive Analysis | FY2024-25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lvl w:ilvl="1" w15:tentative="1">
      <w:start w:val="1"/>
      <w:numFmt w:val="bullet"/>
      <w:lvlText w:val="–"/>
      <w:lvlJc w:val="left"/>
      <w:pPr>
        <w:ind w:left="8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62626"/>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2026-07-15T10:06:03.873Z</dcterms:created>
  <dcterms:modified xsi:type="dcterms:W3CDTF">2026-07-15T10:06:03.883Z</dcterms:modified>
</cp:coreProperties>
</file>

<file path=docProps/custom.xml><?xml version="1.0" encoding="utf-8"?>
<Properties xmlns="http://schemas.openxmlformats.org/officeDocument/2006/custom-properties" xmlns:vt="http://schemas.openxmlformats.org/officeDocument/2006/docPropsVTypes"/>
</file>